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FZXiaoBiaoSong-B05S" w:cs="Times New Roman"/>
          <w:sz w:val="44"/>
          <w:szCs w:val="44"/>
        </w:rPr>
      </w:pPr>
      <w:r>
        <w:rPr>
          <w:rFonts w:hint="eastAsia" w:ascii="Times New Roman" w:hAnsi="Times New Roman" w:eastAsia="FZXiaoBiaoSong-B05S" w:cs="Times New Roman"/>
          <w:sz w:val="44"/>
          <w:szCs w:val="44"/>
        </w:rPr>
        <w:t>廊坊市生态环境局三河市分局</w:t>
      </w:r>
      <w:r>
        <w:rPr>
          <w:rFonts w:ascii="Times New Roman" w:hAnsi="Times New Roman" w:eastAsia="FZXiaoBiaoSong-B05S" w:cs="Times New Roman"/>
          <w:sz w:val="44"/>
          <w:szCs w:val="44"/>
        </w:rPr>
        <w:t>20</w:t>
      </w:r>
      <w:r>
        <w:rPr>
          <w:rFonts w:hint="eastAsia" w:ascii="Times New Roman" w:hAnsi="Times New Roman" w:eastAsia="FZXiaoBiaoSong-B05S" w:cs="Times New Roman"/>
          <w:sz w:val="44"/>
          <w:szCs w:val="44"/>
        </w:rPr>
        <w:t>23</w:t>
      </w:r>
      <w:r>
        <w:rPr>
          <w:rFonts w:ascii="Times New Roman" w:hAnsi="Times New Roman" w:eastAsia="FZXiaoBiaoSong-B05S" w:cs="Times New Roman"/>
          <w:sz w:val="44"/>
          <w:szCs w:val="44"/>
        </w:rPr>
        <w:t>年部门预算信息公开</w:t>
      </w:r>
      <w:r>
        <w:rPr>
          <w:rFonts w:hint="eastAsia" w:ascii="Times New Roman" w:hAnsi="Times New Roman" w:eastAsia="FZXiaoBiaoSong-B05S" w:cs="Times New Roman"/>
          <w:sz w:val="44"/>
          <w:szCs w:val="44"/>
        </w:rPr>
        <w:t>情况说明</w:t>
      </w:r>
    </w:p>
    <w:p>
      <w:pPr>
        <w:spacing w:line="584" w:lineRule="exact"/>
        <w:ind w:firstLine="880" w:firstLineChars="200"/>
        <w:jc w:val="center"/>
        <w:rPr>
          <w:rFonts w:ascii="Times New Roman" w:hAnsi="Times New Roman" w:eastAsia="FangSong_GB2312" w:cs="Times New Roman"/>
          <w:sz w:val="44"/>
          <w:szCs w:val="44"/>
        </w:rPr>
      </w:pPr>
    </w:p>
    <w:p>
      <w:pPr>
        <w:spacing w:line="584"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FangSong_GB2312" w:cs="Times New Roman"/>
          <w:sz w:val="32"/>
          <w:szCs w:val="32"/>
        </w:rPr>
        <w:t>廊坊市生态环境局三河市分局</w:t>
      </w:r>
      <w:r>
        <w:rPr>
          <w:rFonts w:ascii="Times New Roman" w:hAnsi="Times New Roman" w:eastAsia="FangSong_GB2312" w:cs="Times New Roman"/>
          <w:sz w:val="32"/>
          <w:szCs w:val="32"/>
        </w:rPr>
        <w:t>20</w:t>
      </w:r>
      <w:r>
        <w:rPr>
          <w:rFonts w:hint="eastAsia" w:ascii="Times New Roman" w:hAnsi="Times New Roman" w:eastAsia="FangSong_GB2312" w:cs="Times New Roman"/>
          <w:sz w:val="32"/>
          <w:szCs w:val="32"/>
        </w:rPr>
        <w:t>23</w:t>
      </w:r>
      <w:r>
        <w:rPr>
          <w:rFonts w:ascii="Times New Roman" w:hAnsi="Times New Roman" w:eastAsia="FangSong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KaiTi_GB2312" w:cs="Times New Roman"/>
          <w:b/>
          <w:sz w:val="32"/>
          <w:szCs w:val="32"/>
        </w:rPr>
      </w:pPr>
      <w:r>
        <w:rPr>
          <w:rFonts w:ascii="Times New Roman" w:hAnsi="Times New Roman" w:eastAsia="KaiTi_GB2312" w:cs="Times New Roman"/>
          <w:b/>
          <w:sz w:val="32"/>
          <w:szCs w:val="32"/>
        </w:rPr>
        <w:t>部门职责：</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二)负责本辖区重大生态环境问题的统筹协调和监督管理。牵头协调本辖区重特大环境污染事故和生态破坏事件的调查处理，协助三河市政府做好重特大突发生态环境事件的应急、预警工作，牵头指导实施生态环境损害赔偿制度，协调解决有关跨区域环境污染纠纷，统筹协调本辖区重点区域、流域生态环境保护工作。</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三)负责监督管理本辖区减排目标的落实。组织落实本辖区陆地各类污染物排放总量控制、排污许可证制度并实施监督，确定本辖区大气、水等纳污能力，提出本辖区实施总量控制的污染物名称和控制指标,监督检查本辖区污染物减排任务完成情况，实施生态环境保护目标责任制。</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四)负责提出生态环境领域固定资产投资规模和方向、本级财政性资金安排的意见，按三河市政府规定权限审批、核准本辖区规划内和年度计划规模内固定资产投资项目，配合有关部门做好组织实施和监督工作;参与指导推动本辖区循环经济和生态环保产业发展。</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八)负责本辖区生态环境准入的监督管理。受三河市政府委托对重大经济和技术政策、发展规划以及重大经济开发计划进行环境影响评价。按国家和省、市规定审批或审查重大开发建设区域、规划、项目环境影响评价文件。组织实施生态环境准入清单。</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(九)负</w:t>
      </w:r>
      <w:r>
        <w:rPr>
          <w:rFonts w:hint="eastAsia" w:ascii="仿宋_GB2312" w:hAnsi="仿宋_GB2312" w:eastAsia="仿宋_GB2312" w:cs="仿宋_GB2312"/>
          <w:bCs/>
          <w:sz w:val="32"/>
          <w:szCs w:val="32"/>
          <w:lang w:eastAsia="zh-CN"/>
        </w:rPr>
        <w:t>责</w:t>
      </w:r>
      <w:r>
        <w:rPr>
          <w:rFonts w:hint="eastAsia" w:ascii="FangSong_GB2312" w:eastAsia="FangSong_GB2312"/>
          <w:bCs/>
          <w:sz w:val="32"/>
          <w:szCs w:val="32"/>
        </w:rPr>
        <w:t>本辖区生态环境监测工作。监督实施国家生态环境监测制度和规范。会同有关部门统</w:t>
      </w:r>
      <w:r>
        <w:rPr>
          <w:rFonts w:hint="eastAsia" w:ascii="仿宋_GB2312" w:hAnsi="仿宋_GB2312" w:eastAsia="仿宋_GB2312" w:cs="仿宋_GB2312"/>
          <w:bCs/>
          <w:sz w:val="32"/>
          <w:szCs w:val="32"/>
          <w:lang w:eastAsia="zh-CN"/>
        </w:rPr>
        <w:t>一</w:t>
      </w:r>
      <w:r>
        <w:rPr>
          <w:rFonts w:hint="eastAsia" w:ascii="FangSong_GB2312" w:eastAsia="FangSong_GB2312"/>
          <w:bCs/>
          <w:sz w:val="32"/>
          <w:szCs w:val="32"/>
        </w:rPr>
        <w:t>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(十)负责本辖区应对气候变化工作。组织拟订本辖区应对气</w:t>
      </w:r>
      <w:r>
        <w:rPr>
          <w:rFonts w:hint="eastAsia" w:ascii="仿宋_GB2312" w:hAnsi="仿宋_GB2312" w:eastAsia="仿宋_GB2312" w:cs="仿宋_GB2312"/>
          <w:bCs/>
          <w:sz w:val="32"/>
          <w:szCs w:val="32"/>
          <w:lang w:eastAsia="zh-CN"/>
        </w:rPr>
        <w:t>候</w:t>
      </w:r>
      <w:r>
        <w:rPr>
          <w:rFonts w:hint="eastAsia" w:ascii="FangSong_GB2312" w:eastAsia="FangSong_GB2312"/>
          <w:bCs/>
          <w:sz w:val="32"/>
          <w:szCs w:val="32"/>
        </w:rPr>
        <w:t>变化及温室气体减排规划和政策。与有关部门共同牵头组织参加气候变化国际谈判本辖区相关工作。负责履行联合国气候变化框架公约本辖区相关工作。</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(十三)开展生态环境对外合作交流，研究提出本辖区生态环境合作中有关问题的建议，组织协调有关生态环境国际条约的本辖区履约工作，参与处理涉外生态环境事务。</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(十四)完成廊坊市生态环境局和三河市委、市政府交办的其他任务。</w:t>
      </w:r>
    </w:p>
    <w:p>
      <w:pPr>
        <w:autoSpaceDE w:val="0"/>
        <w:spacing w:line="560" w:lineRule="exact"/>
        <w:ind w:firstLine="640" w:firstLineChars="200"/>
        <w:jc w:val="left"/>
        <w:rPr>
          <w:rFonts w:ascii="FangSong_GB2312" w:eastAsia="FangSong_GB2312"/>
          <w:bCs/>
          <w:sz w:val="32"/>
          <w:szCs w:val="32"/>
        </w:rPr>
      </w:pPr>
      <w:r>
        <w:rPr>
          <w:rFonts w:hint="eastAsia" w:ascii="FangSong_GB2312" w:eastAsia="FangSong_GB2312"/>
          <w:bCs/>
          <w:sz w:val="32"/>
          <w:szCs w:val="32"/>
        </w:rPr>
        <w:t>转变职能:</w:t>
      </w:r>
    </w:p>
    <w:p>
      <w:pPr>
        <w:autoSpaceDE w:val="0"/>
        <w:autoSpaceDN w:val="0"/>
        <w:adjustRightInd w:val="0"/>
        <w:spacing w:line="584" w:lineRule="exact"/>
        <w:ind w:firstLine="627" w:firstLineChars="196"/>
        <w:jc w:val="left"/>
        <w:rPr>
          <w:rFonts w:ascii="FangSong_GB2312" w:eastAsia="FangSong_GB2312"/>
          <w:bCs/>
          <w:sz w:val="32"/>
          <w:szCs w:val="32"/>
        </w:rPr>
      </w:pPr>
      <w:r>
        <w:rPr>
          <w:rFonts w:hint="eastAsia" w:ascii="FangSong_GB2312" w:eastAsia="FangSong_GB2312"/>
          <w:bCs/>
          <w:sz w:val="32"/>
          <w:szCs w:val="32"/>
        </w:rPr>
        <w:t>廊坊市生态环境局三河市分局要落实中央和省、市关于统一行使生态和城乡各类污染排放监管与行政执法职责，切实履行监管责任，全面落实大气、水、土壤污染防治行动计划，大幅减少本辖区进口固体废物种类和数量直至全面禁止洋垃圾入境。构建政府为主导、企业为主体、社会组织和公众共同参与的生态环境治理体系  实行最严格的生态环境保护制度，严守生态保护红线和环境质量底线，坚决打好污染防治攻坚战，保障生态安全，建设美丽廊坊。</w:t>
      </w:r>
    </w:p>
    <w:p>
      <w:pPr>
        <w:autoSpaceDE w:val="0"/>
        <w:autoSpaceDN w:val="0"/>
        <w:adjustRightInd w:val="0"/>
        <w:spacing w:line="584" w:lineRule="exact"/>
        <w:ind w:firstLine="630" w:firstLineChars="196"/>
        <w:jc w:val="left"/>
        <w:rPr>
          <w:rFonts w:ascii="Times New Roman" w:hAnsi="Times New Roman" w:eastAsia="KaiTi_GB2312" w:cs="Times New Roman"/>
          <w:b/>
          <w:sz w:val="32"/>
          <w:szCs w:val="32"/>
        </w:rPr>
      </w:pPr>
      <w:r>
        <w:rPr>
          <w:rFonts w:ascii="Times New Roman" w:hAnsi="Times New Roman" w:eastAsia="KaiTi_GB2312" w:cs="Times New Roman"/>
          <w:b/>
          <w:sz w:val="32"/>
          <w:szCs w:val="32"/>
        </w:rPr>
        <w:t>机构设置：</w:t>
      </w:r>
    </w:p>
    <w:p>
      <w:pPr>
        <w:spacing w:line="584" w:lineRule="exact"/>
        <w:jc w:val="center"/>
        <w:outlineLvl w:val="0"/>
        <w:rPr>
          <w:rFonts w:ascii="Times New Roman" w:hAnsi="Times New Roman" w:eastAsia="FangSong_GB2312" w:cs="Times New Roman"/>
          <w:b/>
          <w:sz w:val="32"/>
          <w:szCs w:val="24"/>
        </w:rPr>
      </w:pPr>
      <w:r>
        <w:rPr>
          <w:rFonts w:ascii="Times New Roman" w:hAnsi="Times New Roman" w:eastAsia="FangSong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FangSong_GB2312" w:cs="Times New Roman"/>
                <w:b/>
                <w:szCs w:val="24"/>
              </w:rPr>
            </w:pPr>
            <w:r>
              <w:rPr>
                <w:rFonts w:ascii="Times New Roman" w:hAnsi="Times New Roman" w:eastAsia="FangSong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FangSong_GB2312" w:cs="Times New Roman"/>
                <w:b/>
                <w:szCs w:val="24"/>
              </w:rPr>
            </w:pPr>
            <w:r>
              <w:rPr>
                <w:rFonts w:ascii="Times New Roman" w:hAnsi="Times New Roman" w:eastAsia="FangSong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FangSong_GB2312" w:cs="Times New Roman"/>
                <w:b/>
                <w:szCs w:val="24"/>
              </w:rPr>
            </w:pPr>
            <w:r>
              <w:rPr>
                <w:rFonts w:ascii="Times New Roman" w:hAnsi="Times New Roman" w:eastAsia="FangSong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FangSong_GB2312" w:cs="Times New Roman"/>
                <w:b/>
                <w:szCs w:val="24"/>
              </w:rPr>
            </w:pPr>
            <w:r>
              <w:rPr>
                <w:rFonts w:ascii="Times New Roman" w:hAnsi="Times New Roman" w:eastAsia="FangSong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FangSong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FangSong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FangSong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FangSong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jc w:val="center"/>
              <w:rPr>
                <w:rFonts w:ascii="Times New Roman" w:hAnsi="Times New Roman" w:eastAsia="FangSong_GB2312" w:cs="Times New Roman"/>
                <w:b/>
                <w:kern w:val="2"/>
                <w:sz w:val="21"/>
                <w:szCs w:val="22"/>
                <w:lang w:val="en-US" w:eastAsia="zh-CN" w:bidi="ar-SA"/>
              </w:rPr>
            </w:pPr>
            <w:r>
              <w:rPr>
                <w:rFonts w:hint="eastAsia" w:ascii="仿宋" w:hAnsi="仿宋" w:eastAsia="仿宋"/>
                <w:sz w:val="24"/>
                <w:szCs w:val="24"/>
              </w:rPr>
              <w:t>廊坊市生态环境局三河市分局</w:t>
            </w:r>
          </w:p>
        </w:tc>
        <w:tc>
          <w:tcPr>
            <w:tcW w:w="1134" w:type="dxa"/>
            <w:shd w:val="clear" w:color="auto" w:fill="auto"/>
            <w:vAlign w:val="center"/>
          </w:tcPr>
          <w:p>
            <w:pPr>
              <w:jc w:val="center"/>
              <w:rPr>
                <w:rFonts w:ascii="Times New Roman" w:hAnsi="Times New Roman" w:eastAsia="FangSong_GB2312" w:cs="Times New Roman"/>
                <w:b/>
                <w:kern w:val="2"/>
                <w:sz w:val="21"/>
                <w:szCs w:val="22"/>
                <w:lang w:val="en-US" w:eastAsia="zh-CN" w:bidi="ar-SA"/>
              </w:rPr>
            </w:pPr>
            <w:r>
              <w:rPr>
                <w:rFonts w:hint="eastAsia" w:ascii="仿宋" w:hAnsi="仿宋" w:eastAsia="仿宋"/>
                <w:sz w:val="24"/>
                <w:szCs w:val="24"/>
              </w:rPr>
              <w:t>行政</w:t>
            </w:r>
          </w:p>
        </w:tc>
        <w:tc>
          <w:tcPr>
            <w:tcW w:w="1276" w:type="dxa"/>
            <w:shd w:val="clear" w:color="auto" w:fill="auto"/>
            <w:vAlign w:val="center"/>
          </w:tcPr>
          <w:p>
            <w:pPr>
              <w:spacing w:line="584" w:lineRule="exact"/>
              <w:jc w:val="center"/>
              <w:rPr>
                <w:rFonts w:ascii="Times New Roman" w:hAnsi="Times New Roman" w:eastAsia="FangSong_GB2312" w:cs="Times New Roman"/>
                <w:b/>
                <w:kern w:val="2"/>
                <w:sz w:val="21"/>
                <w:szCs w:val="22"/>
                <w:lang w:val="en-US" w:eastAsia="zh-CN" w:bidi="ar-SA"/>
              </w:rPr>
            </w:pPr>
            <w:r>
              <w:rPr>
                <w:rFonts w:hint="eastAsia" w:ascii="仿宋" w:hAnsi="仿宋" w:eastAsia="仿宋" w:cs="Times New Roman"/>
                <w:sz w:val="24"/>
                <w:szCs w:val="24"/>
              </w:rPr>
              <w:t>正科级</w:t>
            </w:r>
          </w:p>
        </w:tc>
        <w:tc>
          <w:tcPr>
            <w:tcW w:w="2902" w:type="dxa"/>
            <w:shd w:val="clear" w:color="auto" w:fill="auto"/>
            <w:vAlign w:val="center"/>
          </w:tcPr>
          <w:p>
            <w:pPr>
              <w:spacing w:line="584" w:lineRule="exact"/>
              <w:jc w:val="center"/>
              <w:rPr>
                <w:rFonts w:ascii="Times New Roman" w:hAnsi="Times New Roman" w:eastAsia="FangSong_GB2312" w:cs="Times New Roman"/>
                <w:b/>
                <w:kern w:val="2"/>
                <w:sz w:val="21"/>
                <w:szCs w:val="22"/>
                <w:lang w:val="en-US" w:eastAsia="zh-CN" w:bidi="ar-SA"/>
              </w:rPr>
            </w:pPr>
            <w:r>
              <w:rPr>
                <w:rFonts w:hint="eastAsia" w:ascii="仿宋" w:hAnsi="仿宋" w:eastAsia="仿宋" w:cs="Times New Roman"/>
                <w:sz w:val="24"/>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按照预算管理有关规定，目前我市部门预算的编制实行综合预算制度，即全部收入和支出都反映在预算中。</w:t>
      </w:r>
      <w:r>
        <w:rPr>
          <w:rFonts w:hint="eastAsia" w:ascii="Times New Roman" w:hAnsi="Times New Roman" w:eastAsia="FangSong_GB2312" w:cs="Times New Roman"/>
          <w:sz w:val="32"/>
          <w:szCs w:val="32"/>
        </w:rPr>
        <w:t>廊坊市生态环境局三河市分局</w:t>
      </w:r>
      <w:r>
        <w:rPr>
          <w:rFonts w:ascii="Times New Roman" w:hAnsi="Times New Roman" w:eastAsia="FangSong_GB2312" w:cs="Times New Roman"/>
          <w:color w:val="auto"/>
          <w:sz w:val="32"/>
          <w:szCs w:val="32"/>
        </w:rPr>
        <w:t>及所属事业单位</w:t>
      </w:r>
      <w:r>
        <w:rPr>
          <w:rFonts w:ascii="Times New Roman" w:hAnsi="Times New Roman" w:eastAsia="FangSong_GB2312" w:cs="Times New Roman"/>
          <w:sz w:val="32"/>
          <w:szCs w:val="32"/>
        </w:rPr>
        <w:t>的收支包含在部门预算中。</w:t>
      </w:r>
    </w:p>
    <w:p>
      <w:pPr>
        <w:spacing w:line="584" w:lineRule="exact"/>
        <w:ind w:firstLine="640"/>
        <w:rPr>
          <w:rFonts w:ascii="Times New Roman" w:hAnsi="Times New Roman" w:eastAsia="FangSong_GB2312" w:cs="Times New Roman"/>
          <w:b/>
          <w:sz w:val="32"/>
          <w:szCs w:val="32"/>
        </w:rPr>
      </w:pPr>
      <w:r>
        <w:rPr>
          <w:rFonts w:ascii="Times New Roman" w:hAnsi="Times New Roman" w:eastAsia="FangSong_GB2312" w:cs="Times New Roman"/>
          <w:b/>
          <w:sz w:val="32"/>
          <w:szCs w:val="32"/>
        </w:rPr>
        <w:t>1、收入说明</w:t>
      </w:r>
    </w:p>
    <w:p>
      <w:pPr>
        <w:pStyle w:val="23"/>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反映本部门当年全部收入。2023年预算收入1302.4</w:t>
      </w:r>
      <w:r>
        <w:rPr>
          <w:rFonts w:hint="eastAsia" w:eastAsia="FangSong_GB2312" w:cs="Times New Roman"/>
          <w:kern w:val="2"/>
          <w:sz w:val="32"/>
          <w:szCs w:val="32"/>
          <w:lang w:val="en-US" w:eastAsia="zh-CN" w:bidi="ar-SA"/>
        </w:rPr>
        <w:t>3</w:t>
      </w:r>
      <w:r>
        <w:rPr>
          <w:rFonts w:ascii="Times New Roman" w:hAnsi="Times New Roman" w:eastAsia="FangSong_GB2312" w:cs="Times New Roman"/>
          <w:kern w:val="2"/>
          <w:sz w:val="32"/>
          <w:szCs w:val="32"/>
          <w:lang w:val="en-US" w:eastAsia="zh-CN" w:bidi="ar-SA"/>
        </w:rPr>
        <w:t>万元，其中：一般公共预算收入1302.4</w:t>
      </w:r>
      <w:r>
        <w:rPr>
          <w:rFonts w:hint="eastAsia" w:eastAsia="FangSong_GB2312" w:cs="Times New Roman"/>
          <w:kern w:val="2"/>
          <w:sz w:val="32"/>
          <w:szCs w:val="32"/>
          <w:lang w:val="en-US" w:eastAsia="zh-CN" w:bidi="ar-SA"/>
        </w:rPr>
        <w:t>3</w:t>
      </w:r>
      <w:r>
        <w:rPr>
          <w:rFonts w:ascii="Times New Roman" w:hAnsi="Times New Roman" w:eastAsia="FangSong_GB2312" w:cs="Times New Roman"/>
          <w:kern w:val="2"/>
          <w:sz w:val="32"/>
          <w:szCs w:val="32"/>
          <w:lang w:val="en-US" w:eastAsia="zh-CN" w:bidi="ar-SA"/>
        </w:rPr>
        <w:t>万元，基金预算收入0万元，财政专户核拨收入0万元，其他来源收入0万元，上年结转0万元。</w:t>
      </w:r>
    </w:p>
    <w:p>
      <w:pPr>
        <w:spacing w:line="584" w:lineRule="exact"/>
        <w:ind w:firstLine="640"/>
        <w:rPr>
          <w:rFonts w:ascii="Times New Roman" w:hAnsi="Times New Roman" w:eastAsia="FangSong_GB2312" w:cs="Times New Roman"/>
          <w:b/>
          <w:sz w:val="32"/>
          <w:szCs w:val="32"/>
        </w:rPr>
      </w:pPr>
      <w:r>
        <w:rPr>
          <w:rFonts w:ascii="Times New Roman" w:hAnsi="Times New Roman" w:eastAsia="FangSong_GB2312" w:cs="Times New Roman"/>
          <w:b/>
          <w:sz w:val="32"/>
          <w:szCs w:val="32"/>
        </w:rPr>
        <w:t>2、支出说明</w:t>
      </w:r>
    </w:p>
    <w:p>
      <w:pPr>
        <w:pStyle w:val="23"/>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收支预算总表支出栏、基本支出表、项目支出表按经济分类和支出功能分类科目编制，反映廊坊市生态环境局三河市分局年度部门预算中支出预算的总体情况。2023年支出预算1302.4</w:t>
      </w:r>
      <w:r>
        <w:rPr>
          <w:rFonts w:hint="eastAsia" w:eastAsia="FangSong_GB2312" w:cs="Times New Roman"/>
          <w:kern w:val="2"/>
          <w:sz w:val="32"/>
          <w:szCs w:val="32"/>
          <w:lang w:val="en-US" w:eastAsia="zh-CN" w:bidi="ar-SA"/>
        </w:rPr>
        <w:t>3</w:t>
      </w:r>
      <w:r>
        <w:rPr>
          <w:rFonts w:ascii="Times New Roman" w:hAnsi="Times New Roman" w:eastAsia="FangSong_GB2312" w:cs="Times New Roman"/>
          <w:kern w:val="2"/>
          <w:sz w:val="32"/>
          <w:szCs w:val="32"/>
          <w:lang w:val="en-US" w:eastAsia="zh-CN" w:bidi="ar-SA"/>
        </w:rPr>
        <w:t>万元，其中基本支出0万元，包括人员类项目经费0万元和运转类公用项目经费0万元；运转类其他及特定目标类项目支出1302.4</w:t>
      </w:r>
      <w:r>
        <w:rPr>
          <w:rFonts w:hint="eastAsia" w:eastAsia="FangSong_GB2312" w:cs="Times New Roman"/>
          <w:kern w:val="2"/>
          <w:sz w:val="32"/>
          <w:szCs w:val="32"/>
          <w:lang w:val="en-US" w:eastAsia="zh-CN" w:bidi="ar-SA"/>
        </w:rPr>
        <w:t>3</w:t>
      </w:r>
      <w:r>
        <w:rPr>
          <w:rFonts w:ascii="Times New Roman" w:hAnsi="Times New Roman" w:eastAsia="FangSong_GB2312" w:cs="Times New Roman"/>
          <w:kern w:val="2"/>
          <w:sz w:val="32"/>
          <w:szCs w:val="32"/>
          <w:lang w:val="en-US" w:eastAsia="zh-CN" w:bidi="ar-SA"/>
        </w:rPr>
        <w:t>万元，包括本级支出，主要为燃煤锅炉淘汰奖补项目、</w:t>
      </w:r>
      <w:r>
        <w:rPr>
          <w:rFonts w:hint="eastAsia" w:eastAsia="FangSong_GB2312" w:cs="Times New Roman"/>
          <w:kern w:val="2"/>
          <w:sz w:val="32"/>
          <w:szCs w:val="32"/>
          <w:lang w:val="en-US" w:eastAsia="zh-CN" w:bidi="ar-SA"/>
        </w:rPr>
        <w:t>重型柴油车尾气检测能力建设</w:t>
      </w:r>
      <w:r>
        <w:rPr>
          <w:rFonts w:ascii="Times New Roman" w:hAnsi="Times New Roman" w:eastAsia="FangSong_GB2312" w:cs="Times New Roman"/>
          <w:kern w:val="2"/>
          <w:sz w:val="32"/>
          <w:szCs w:val="32"/>
          <w:lang w:val="en-US" w:eastAsia="zh-CN" w:bidi="ar-SA"/>
        </w:rPr>
        <w:t>、大气污染综合治理项目资金、</w:t>
      </w:r>
      <w:r>
        <w:rPr>
          <w:rFonts w:hint="eastAsia" w:eastAsia="FangSong_GB2312" w:cs="Times New Roman"/>
          <w:kern w:val="2"/>
          <w:sz w:val="32"/>
          <w:szCs w:val="32"/>
          <w:lang w:val="en-US" w:eastAsia="zh-CN" w:bidi="ar-SA"/>
        </w:rPr>
        <w:t>重点工业企业治污设施与生产设施分表记电系统运行维护项目</w:t>
      </w:r>
      <w:r>
        <w:rPr>
          <w:rFonts w:ascii="Times New Roman" w:hAnsi="Times New Roman" w:eastAsia="FangSong_GB2312" w:cs="Times New Roman"/>
          <w:kern w:val="2"/>
          <w:sz w:val="32"/>
          <w:szCs w:val="32"/>
          <w:lang w:val="en-US" w:eastAsia="zh-CN" w:bidi="ar-SA"/>
        </w:rPr>
        <w:t>、三河市空气质量管控系统设备购置项目</w:t>
      </w:r>
      <w:r>
        <w:rPr>
          <w:rFonts w:hint="eastAsia" w:eastAsia="FangSong_GB2312" w:cs="Times New Roman"/>
          <w:kern w:val="2"/>
          <w:sz w:val="32"/>
          <w:szCs w:val="32"/>
          <w:lang w:val="en-US" w:eastAsia="zh-CN" w:bidi="ar-SA"/>
        </w:rPr>
        <w:t>、第二次全国污染源普查工作经费</w:t>
      </w:r>
      <w:r>
        <w:rPr>
          <w:rFonts w:ascii="Times New Roman" w:hAnsi="Times New Roman" w:eastAsia="FangSong_GB2312" w:cs="Times New Roman"/>
          <w:kern w:val="2"/>
          <w:sz w:val="32"/>
          <w:szCs w:val="32"/>
          <w:lang w:val="en-US" w:eastAsia="zh-CN" w:bidi="ar-SA"/>
        </w:rPr>
        <w:t>等。</w:t>
      </w:r>
    </w:p>
    <w:p>
      <w:pPr>
        <w:spacing w:line="584" w:lineRule="exact"/>
        <w:ind w:firstLine="640"/>
        <w:rPr>
          <w:rFonts w:ascii="Times New Roman" w:hAnsi="Times New Roman" w:eastAsia="FangSong_GB2312" w:cs="Times New Roman"/>
          <w:b/>
          <w:sz w:val="32"/>
          <w:szCs w:val="32"/>
        </w:rPr>
      </w:pPr>
      <w:r>
        <w:rPr>
          <w:rFonts w:ascii="Times New Roman" w:hAnsi="Times New Roman" w:eastAsia="FangSong_GB2312" w:cs="Times New Roman"/>
          <w:b/>
          <w:sz w:val="32"/>
          <w:szCs w:val="32"/>
        </w:rPr>
        <w:t>3、比上年增减情况</w:t>
      </w:r>
    </w:p>
    <w:p>
      <w:pPr>
        <w:pStyle w:val="23"/>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2023年预算收支安排1302.43万元，较2022年预算减少1218.94万元，其中：基本支出减少0万元；项目支出减少1218.94万元，主要为燃煤锅炉淘汰奖补项目支出。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numPr>
          <w:ilvl w:val="0"/>
          <w:numId w:val="0"/>
        </w:numPr>
        <w:ind w:firstLine="640" w:firstLineChars="200"/>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2023年，我局机关运行经费共计安排0万元，主要因为我部门日常公用经费已列入廊坊市级预算。</w:t>
      </w:r>
    </w:p>
    <w:p>
      <w:pPr>
        <w:autoSpaceDE w:val="0"/>
        <w:autoSpaceDN w:val="0"/>
        <w:adjustRightInd w:val="0"/>
        <w:spacing w:line="584" w:lineRule="exact"/>
        <w:ind w:left="198" w:firstLine="640" w:firstLineChars="200"/>
        <w:jc w:val="left"/>
        <w:rPr>
          <w:rFonts w:hint="eastAsia" w:ascii="Times New Roman" w:hAnsi="黑体" w:eastAsia="黑体" w:cs="Times New Roman"/>
          <w:sz w:val="32"/>
          <w:szCs w:val="32"/>
        </w:rPr>
      </w:pPr>
      <w:r>
        <w:rPr>
          <w:rFonts w:hint="eastAsia" w:ascii="Times New Roman" w:hAnsi="黑体" w:eastAsia="黑体" w:cs="Times New Roman"/>
          <w:sz w:val="32"/>
          <w:szCs w:val="32"/>
        </w:rPr>
        <w:t>四、财政拨款“三公”经费预算情况及增减变化原因</w:t>
      </w:r>
    </w:p>
    <w:p>
      <w:pPr>
        <w:pStyle w:val="24"/>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2023年，我局财政拨款“三公”经费预算安排13万元。其中，因公出国（境）费0万元；公务用车购置及运维费0万元（其中：公务用车购置费为0万元，公务用车运维费0万元)；公务接待费13万元。与2022年相比减少2万元，</w:t>
      </w:r>
      <w:r>
        <w:rPr>
          <w:rFonts w:hint="eastAsia" w:eastAsia="FangSong_GB2312" w:cs="Times New Roman"/>
          <w:kern w:val="2"/>
          <w:sz w:val="32"/>
          <w:szCs w:val="32"/>
          <w:lang w:val="en-US" w:eastAsia="zh-CN" w:bidi="ar-SA"/>
        </w:rPr>
        <w:t xml:space="preserve"> </w:t>
      </w:r>
      <w:r>
        <w:rPr>
          <w:rFonts w:ascii="Times New Roman" w:hAnsi="Times New Roman" w:eastAsia="FangSong_GB2312" w:cs="Times New Roman"/>
          <w:kern w:val="2"/>
          <w:sz w:val="32"/>
          <w:szCs w:val="32"/>
          <w:lang w:val="en-US" w:eastAsia="zh-CN" w:bidi="ar-SA"/>
        </w:rPr>
        <w:t>其中，公务用车购置及运维费公务用车购置及运维费增加0万元（其中：公务用车购置费增加0万元，公务用车运维费增加0万元)，主要原因是我</w:t>
      </w:r>
      <w:r>
        <w:rPr>
          <w:rFonts w:hint="eastAsia" w:eastAsia="FangSong_GB2312" w:cs="Times New Roman"/>
          <w:kern w:val="2"/>
          <w:sz w:val="32"/>
          <w:szCs w:val="32"/>
          <w:lang w:val="en-US" w:eastAsia="zh-CN" w:bidi="ar-SA"/>
        </w:rPr>
        <w:t>单位</w:t>
      </w:r>
      <w:r>
        <w:rPr>
          <w:rFonts w:ascii="Times New Roman" w:hAnsi="Times New Roman" w:eastAsia="FangSong_GB2312" w:cs="Times New Roman"/>
          <w:kern w:val="2"/>
          <w:sz w:val="32"/>
          <w:szCs w:val="32"/>
          <w:lang w:val="en-US" w:eastAsia="zh-CN" w:bidi="ar-SA"/>
        </w:rPr>
        <w:t>公车运行费列入廊坊市级预算；公务接待费13万元减少2万元，主要原因是我部门切实落实勤俭节约各项规定，严格控制公务接待费支出。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KaiTi_GB2312" w:eastAsia="KaiTi_GB2312" w:cs="Times New Roman"/>
          <w:b/>
          <w:sz w:val="32"/>
          <w:szCs w:val="32"/>
        </w:rPr>
      </w:pPr>
      <w:r>
        <w:rPr>
          <w:rFonts w:hint="eastAsia" w:ascii="KaiTi_GB2312" w:eastAsia="KaiTi_GB2312" w:cs="Times New Roman"/>
          <w:b/>
          <w:sz w:val="32"/>
          <w:szCs w:val="32"/>
        </w:rPr>
        <w:t>（一）总体绩效目标</w:t>
      </w:r>
    </w:p>
    <w:p>
      <w:pPr>
        <w:pStyle w:val="25"/>
        <w:rPr>
          <w:rFonts w:ascii="Times New Roman" w:hAnsi="Times New Roman" w:eastAsia="FangSong_GB2312" w:cs="Times New Roman"/>
          <w:kern w:val="2"/>
          <w:sz w:val="32"/>
          <w:szCs w:val="32"/>
          <w:lang w:val="en-US" w:eastAsia="zh-CN" w:bidi="ar-SA"/>
        </w:rPr>
      </w:pPr>
      <w:r>
        <w:rPr>
          <w:rFonts w:ascii="Times New Roman" w:hAnsi="Times New Roman" w:eastAsia="FangSong_GB2312" w:cs="Times New Roman"/>
          <w:kern w:val="2"/>
          <w:sz w:val="32"/>
          <w:szCs w:val="32"/>
          <w:lang w:val="en-US" w:eastAsia="zh-CN" w:bidi="ar-SA"/>
        </w:rPr>
        <w:t>全面贯彻落实党的二十大精神和习近平总书记生态文明建设重要思想，坚持全民共治、源头防治、持续实施污染防治行动，坚决打好以大气、水、土环境质量提升为重点的生态环境保护攻坚战，着力解决影响群众生产生活的突出环境问题，让全市人民拥有更多环境质量改善获得感。主要体现在五个方面：一是坚决扛起推进生态文明建设的政治责任；二是加快推动形成绿色发展方式和生活方式；三是着力解决突出环境问题；四是加大生态系统保护力度；五是健全完善生态环境保护体制机制。</w:t>
      </w:r>
    </w:p>
    <w:p>
      <w:pPr>
        <w:spacing w:line="584" w:lineRule="exact"/>
        <w:ind w:firstLine="643" w:firstLineChars="200"/>
        <w:rPr>
          <w:rFonts w:ascii="KaiTi_GB2312" w:eastAsia="KaiTi_GB2312" w:cs="Times New Roman"/>
          <w:b/>
          <w:sz w:val="32"/>
          <w:szCs w:val="32"/>
        </w:rPr>
      </w:pPr>
      <w:r>
        <w:rPr>
          <w:rFonts w:hint="eastAsia" w:ascii="KaiTi_GB2312" w:eastAsia="KaiTi_GB2312" w:cs="Times New Roman"/>
          <w:b/>
          <w:sz w:val="32"/>
          <w:szCs w:val="32"/>
        </w:rPr>
        <w:t>（二）分项绩效目标</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持续深化大气污染综合治理。</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绩效目标：开展涉气工业企业污染排查整治、机动车检测机构、用车大户规范性排查、加油站油气污染防治、臭氧前</w:t>
      </w:r>
      <w:r>
        <w:rPr>
          <w:rFonts w:hint="eastAsia" w:ascii="FangSong_GB2312" w:hAnsi="FangSong_GB2312" w:eastAsia="FangSong_GB2312" w:cs="FangSong_GB2312"/>
          <w:sz w:val="32"/>
          <w:szCs w:val="32"/>
          <w:lang w:eastAsia="zh-CN"/>
        </w:rPr>
        <w:t>体</w:t>
      </w:r>
      <w:r>
        <w:rPr>
          <w:rFonts w:hint="eastAsia" w:ascii="FangSong_GB2312" w:hAnsi="FangSong_GB2312" w:eastAsia="FangSong_GB2312" w:cs="FangSong_GB2312"/>
          <w:sz w:val="32"/>
          <w:szCs w:val="32"/>
        </w:rPr>
        <w:t>物质溯源与臭氧污染协同管控，有效改善我市大气环境质量。</w:t>
      </w:r>
      <w:r>
        <w:rPr>
          <w:rFonts w:hint="eastAsia" w:ascii="FangSong_GB2312" w:hAnsi="FangSong_GB2312" w:eastAsia="FangSong_GB2312" w:cs="FangSong_GB2312"/>
          <w:sz w:val="32"/>
          <w:szCs w:val="32"/>
        </w:rPr>
        <w:tab/>
      </w:r>
      <w:r>
        <w:rPr>
          <w:rFonts w:hint="eastAsia" w:ascii="FangSong_GB2312" w:hAnsi="FangSong_GB2312" w:eastAsia="FangSong_GB2312" w:cs="FangSong_GB2312"/>
          <w:sz w:val="32"/>
          <w:szCs w:val="32"/>
        </w:rPr>
        <w:tab/>
      </w:r>
      <w:r>
        <w:rPr>
          <w:rFonts w:hint="eastAsia" w:ascii="FangSong_GB2312" w:hAnsi="FangSong_GB2312" w:eastAsia="FangSong_GB2312" w:cs="FangSong_GB2312"/>
          <w:sz w:val="32"/>
          <w:szCs w:val="32"/>
        </w:rPr>
        <w:tab/>
      </w:r>
      <w:r>
        <w:rPr>
          <w:rFonts w:hint="eastAsia" w:ascii="FangSong_GB2312" w:hAnsi="FangSong_GB2312" w:eastAsia="FangSong_GB2312" w:cs="FangSong_GB2312"/>
          <w:sz w:val="32"/>
          <w:szCs w:val="32"/>
        </w:rPr>
        <w:tab/>
      </w:r>
      <w:r>
        <w:rPr>
          <w:rFonts w:hint="eastAsia" w:ascii="FangSong_GB2312" w:hAnsi="FangSong_GB2312" w:eastAsia="FangSong_GB2312" w:cs="FangSong_GB2312"/>
          <w:sz w:val="32"/>
          <w:szCs w:val="32"/>
        </w:rPr>
        <w:tab/>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指标：排查涉气工业企业数量≥450家/次，检测机动车尾气数量≥500辆/次，加油站检测点位数量≥240点位编制《臭氧前体物质溯源及臭氧协同管控分析报告》1套；大气环境综合治理项目验收合格率=100%；我市各项大气污染综合治理工作按时完成率=100%；排查每家涉气工业企业成本≤956元，检测每辆机动车尾气成本≤672元，每个加油站检测点位成本≤513元；服务对象满意度指标值≥95%。</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持续强化水污染防治</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目标：实现对各类水质超标情况进行及时预警和分析，改善全市水环境质量。绩效指标：水环境监测预警与评估分析技术服务数量=1项；验收合格率=100%；工作完成及时率=100%；项目单位成本≤2.87万元；服务对象满意度指标值≥95%。</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3、</w:t>
      </w:r>
      <w:r>
        <w:rPr>
          <w:rFonts w:hint="eastAsia" w:ascii="FangSong_GB2312" w:hAnsi="FangSong_GB2312" w:eastAsia="FangSong_GB2312" w:cs="FangSong_GB2312"/>
          <w:sz w:val="32"/>
          <w:szCs w:val="32"/>
        </w:rPr>
        <w:t>全面推进土壤污染防治</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绩效目标：全面解决农村生活污水治理问题，改善农村人居环境，提升农村居民生活质量。</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绩效指标：农村生活污水治理专项规划修订数量=1套；验收合格率指标值=100%；编制完成时间≤12月；项目单位成本指标值≤23.9万元；修订农村生活污水治理专项规划的保障期限=5年；受益群体满意度指标值≥95%。</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4、</w:t>
      </w:r>
      <w:r>
        <w:rPr>
          <w:rFonts w:hint="eastAsia" w:ascii="FangSong_GB2312" w:hAnsi="FangSong_GB2312" w:eastAsia="FangSong_GB2312" w:cs="FangSong_GB2312"/>
          <w:sz w:val="32"/>
          <w:szCs w:val="32"/>
        </w:rPr>
        <w:t>持续开展环境执法专项行动</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绩效目标：在全市持续开展环境执法专项行动，消除污染风险隐患，构筑全市生态安全屏障，严控各类环境违法犯罪行为，严防环境突发事件，杜绝环境污染事故发生。</w:t>
      </w:r>
    </w:p>
    <w:p>
      <w:pPr>
        <w:pStyle w:val="26"/>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绩效指标：督查执法工作业务保障数量=1项；业务保障率=100%；保障及时性=100%；项目单位成本指标值≤13万元；服务对象满意度指标≥92%。</w:t>
      </w:r>
    </w:p>
    <w:p>
      <w:pPr>
        <w:spacing w:line="584" w:lineRule="exact"/>
        <w:ind w:firstLine="643" w:firstLineChars="200"/>
        <w:rPr>
          <w:rFonts w:hint="eastAsia" w:ascii="FangSong_GB2312" w:hAnsi="FangSong_GB2312" w:eastAsia="FangSong_GB2312" w:cs="FangSong_GB2312"/>
          <w:b/>
          <w:sz w:val="32"/>
          <w:szCs w:val="32"/>
        </w:rPr>
      </w:pPr>
      <w:r>
        <w:rPr>
          <w:rFonts w:hint="eastAsia" w:ascii="FangSong_GB2312" w:hAnsi="FangSong_GB2312" w:eastAsia="FangSong_GB2312" w:cs="FangSong_GB2312"/>
          <w:b/>
          <w:sz w:val="32"/>
          <w:szCs w:val="32"/>
        </w:rPr>
        <w:t>（三）工作保障措施</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rPr>
        <w:t>持续深化大气污染综合治理。</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为确保完成全年大气污染防治的任务目标，保障北京冬奥会、冬残奥会及党的二十大召开期间的空气质量，必须坚持从严管控，突出问题导向，突出结果导向，加强对重点行业、重点领域、重点时段的精细化管控措施。</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一是加快产业结构调整。巩固散乱污整治成果。对照“散乱污”整治台账开展回头看，严防“散乱污”企业反弹。以深度治理倒逼企业转型升级。按照省、市要求，扩大重点企业在线监控设备安装范围，车间及厂界安装环境在线监测设施或超标报警传感装置，确保稳定达到河北省《工业企业挥发性有机物排放控制标准》（DB13/2322-2016）。</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二是深化“车、油、路”治理。继续实施柴油重卡禁限行措施，充分利用遥感监测设备，筛查、处罚各类高排放车辆，强力治理机动车污染。强化非道路移动机械尾气治理，持续开展油品油质专项执法检查行动，各类加油站点油气回收装置必须达标运行，不达标的依法依规处罚。</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三是强化重污染天气应急响应。根据污染负荷及企业实际，结合实际减排效益，对全市重污染天气应急和错峰生产企业清单进行梳理、更新，严格落实“一厂一策”，确保科学有效，达到预期减排效果。</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2、</w:t>
      </w:r>
      <w:r>
        <w:rPr>
          <w:rFonts w:hint="eastAsia" w:ascii="FangSong_GB2312" w:hAnsi="FangSong_GB2312" w:eastAsia="FangSong_GB2312" w:cs="FangSong_GB2312"/>
          <w:sz w:val="32"/>
          <w:szCs w:val="32"/>
        </w:rPr>
        <w:t>持续强化水污染防治。</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一是强化预警溯源。持续利用市域内水质自动监测站，对重点河流进行实时监控，发现水质超标问题，第一时间安排人员赶赴现场查明原因，精准研判超标节点，指导相关单位采取切实应急措施，确保相关问题得到妥善解决，水质尽快恢复达标。</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二是强化日常巡查。通过无人机飞航，徒步巡查等方式定期对重点河流进行巡查，对发现的各类水环境问题及时交办，力促问题全部整改到位。</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三是强化运营监管。对全市6座污水处理厂进行现场巡查，重点检查各处理单元运行情况，在线监测设备运行情况，提出指导意见，限期整改，确保污水处理厂稳定运行达标排放。</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四是强化协同管控。建立与北京市平谷区、通州区、顺义区，天津市蓟州区、宝坻区及大厂县、香河县的联防联控机制，实现信息共享、数据共享，适时组织联合巡河联合采样，发现问题协同处置，联合做好跨境断面管控工作。</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3、</w:t>
      </w:r>
      <w:r>
        <w:rPr>
          <w:rFonts w:hint="eastAsia" w:ascii="FangSong_GB2312" w:hAnsi="FangSong_GB2312" w:eastAsia="FangSong_GB2312" w:cs="FangSong_GB2312"/>
          <w:sz w:val="32"/>
          <w:szCs w:val="32"/>
        </w:rPr>
        <w:t>全面推进土壤污染防治。</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一是推进农村污水治理工程。为确保完成工作任务，将严格按照《三河市农村生活污水治理工作方案（2021-2025年）》时间安排，加强工作推进落实的组织调度和监督落实，督促各部门依法履行监督管理职责，督促各镇切实担负起土壤</w:t>
      </w:r>
      <w:r>
        <w:rPr>
          <w:rFonts w:hint="eastAsia" w:ascii="FangSong_GB2312" w:hAnsi="FangSong_GB2312" w:eastAsia="宋体" w:cs="FangSong_GB2312"/>
          <w:sz w:val="32"/>
          <w:szCs w:val="32"/>
          <w:lang w:eastAsia="zh-CN"/>
        </w:rPr>
        <w:t>污</w:t>
      </w:r>
      <w:r>
        <w:rPr>
          <w:rFonts w:hint="eastAsia" w:ascii="FangSong_GB2312" w:hAnsi="FangSong_GB2312" w:eastAsia="FangSong_GB2312" w:cs="FangSong_GB2312"/>
          <w:sz w:val="32"/>
          <w:szCs w:val="32"/>
        </w:rPr>
        <w:t>染防治和农村污染治理的政治责任和法律责任，严格落实属地管理主体责任，建立长效管理机制，确保完成土壤</w:t>
      </w:r>
      <w:r>
        <w:rPr>
          <w:rFonts w:hint="eastAsia" w:ascii="FangSong_GB2312" w:hAnsi="FangSong_GB2312" w:eastAsia="宋体" w:cs="FangSong_GB2312"/>
          <w:sz w:val="32"/>
          <w:szCs w:val="32"/>
          <w:lang w:eastAsia="zh-CN"/>
        </w:rPr>
        <w:t>污</w:t>
      </w:r>
      <w:r>
        <w:rPr>
          <w:rFonts w:hint="eastAsia" w:ascii="FangSong_GB2312" w:hAnsi="FangSong_GB2312" w:eastAsia="FangSong_GB2312" w:cs="FangSong_GB2312"/>
          <w:sz w:val="32"/>
          <w:szCs w:val="32"/>
        </w:rPr>
        <w:t xml:space="preserve">染防治和农村污染治理目标任务。    </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二是巩固农村黑臭水体整治成果。持续组织各镇、区对辖区内农村黑臭水体开展排查整治，及时更新有水、无水坑塘沟渠清单和黑臭水体排查整治清单，建立并组织实施通知要求的长效管控机制。加密巡查频次、加大巡查力度，确保及时消除污染隐患，保证农村黑臭水体动态清零。</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三是严格建设用地土壤污染风险管控。动态更新疑似污染地块名单、污染地块名录，确保符合《中华人</w:t>
      </w:r>
      <w:r>
        <w:rPr>
          <w:rFonts w:hint="eastAsia" w:ascii="FangSong_GB2312" w:hAnsi="FangSong_GB2312" w:eastAsia="宋体" w:cs="FangSong_GB2312"/>
          <w:sz w:val="32"/>
          <w:szCs w:val="32"/>
          <w:lang w:eastAsia="zh-CN"/>
        </w:rPr>
        <w:t>民</w:t>
      </w:r>
      <w:r>
        <w:rPr>
          <w:rFonts w:hint="eastAsia" w:ascii="FangSong_GB2312" w:hAnsi="FangSong_GB2312" w:eastAsia="FangSong_GB2312" w:cs="FangSong_GB2312"/>
          <w:sz w:val="32"/>
          <w:szCs w:val="32"/>
        </w:rPr>
        <w:t>共和国土壤污染防治法》《污染地块土壤环境管理办法（试行）》等要求的建设用地地块全部纳入全国污染地块土壤环境管理系统并进一步强化日常监管，保障全市用地安全。</w:t>
      </w:r>
    </w:p>
    <w:p>
      <w:pPr>
        <w:pStyle w:val="27"/>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val="en-US" w:eastAsia="zh-CN"/>
        </w:rPr>
        <w:t>4、</w:t>
      </w:r>
      <w:r>
        <w:rPr>
          <w:rFonts w:hint="eastAsia" w:ascii="FangSong_GB2312" w:hAnsi="FangSong_GB2312" w:eastAsia="FangSong_GB2312" w:cs="FangSong_GB2312"/>
          <w:sz w:val="32"/>
          <w:szCs w:val="32"/>
        </w:rPr>
        <w:t>持续开展环境执法专项行动。</w:t>
      </w:r>
    </w:p>
    <w:p>
      <w:pPr>
        <w:pStyle w:val="27"/>
        <w:rPr>
          <w:rFonts w:hint="eastAsia" w:ascii="KaiTi_GB2312" w:eastAsia="KaiTi_GB2312" w:cs="Times New Roman"/>
          <w:b/>
          <w:sz w:val="32"/>
          <w:szCs w:val="32"/>
        </w:rPr>
      </w:pPr>
      <w:r>
        <w:rPr>
          <w:rFonts w:hint="eastAsia" w:ascii="FangSong_GB2312" w:hAnsi="FangSong_GB2312" w:eastAsia="FangSong_GB2312" w:cs="FangSong_GB2312"/>
          <w:sz w:val="32"/>
          <w:szCs w:val="32"/>
        </w:rPr>
        <w:t>在全市持续开展环境执法专项行动，消除污染风险隐患，对大气污染综合治理、水污染综合整治、危险废物环境隐患开展排查整治，排查底数建档立卡，实施环境治理精准管控，构筑全市生态安全屏障，严控各类环境违法犯罪行为，严防环境突发事件，杜绝环境污染事故发生。</w:t>
      </w:r>
    </w:p>
    <w:p>
      <w:pPr>
        <w:overflowPunct w:val="0"/>
        <w:adjustRightInd w:val="0"/>
        <w:snapToGrid w:val="0"/>
        <w:spacing w:afterLines="50" w:line="584" w:lineRule="exact"/>
        <w:ind w:firstLine="630" w:firstLineChars="196"/>
        <w:jc w:val="left"/>
        <w:rPr>
          <w:rFonts w:ascii="KaiTi_GB2312" w:eastAsia="KaiTi_GB2312" w:cs="Times New Roman"/>
          <w:b/>
          <w:sz w:val="32"/>
          <w:szCs w:val="32"/>
        </w:rPr>
      </w:pPr>
      <w:r>
        <w:rPr>
          <w:rFonts w:hint="eastAsia" w:ascii="KaiTi_GB2312" w:eastAsia="KaiTi_GB2312" w:cs="Times New Roman"/>
          <w:b/>
          <w:sz w:val="32"/>
          <w:szCs w:val="32"/>
        </w:rPr>
        <w:t>（四）部门整体支出绩效指标</w:t>
      </w:r>
    </w:p>
    <w:tbl>
      <w:tblPr>
        <w:tblStyle w:val="8"/>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88"/>
        <w:gridCol w:w="893"/>
        <w:gridCol w:w="1916"/>
        <w:gridCol w:w="4026"/>
        <w:gridCol w:w="2871"/>
        <w:gridCol w:w="612"/>
        <w:gridCol w:w="706"/>
        <w:gridCol w:w="652"/>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88"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一级指标</w:t>
            </w:r>
          </w:p>
        </w:tc>
        <w:tc>
          <w:tcPr>
            <w:tcW w:w="893"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二级</w:t>
            </w:r>
          </w:p>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指标</w:t>
            </w:r>
          </w:p>
        </w:tc>
        <w:tc>
          <w:tcPr>
            <w:tcW w:w="1916"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三级</w:t>
            </w:r>
          </w:p>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指标</w:t>
            </w:r>
          </w:p>
        </w:tc>
        <w:tc>
          <w:tcPr>
            <w:tcW w:w="4026"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评（扣）分标准</w:t>
            </w:r>
          </w:p>
        </w:tc>
        <w:tc>
          <w:tcPr>
            <w:tcW w:w="2871"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绩效指标</w:t>
            </w:r>
          </w:p>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描述</w:t>
            </w:r>
          </w:p>
        </w:tc>
        <w:tc>
          <w:tcPr>
            <w:tcW w:w="1970" w:type="dxa"/>
            <w:gridSpan w:val="3"/>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指标值</w:t>
            </w:r>
          </w:p>
        </w:tc>
        <w:tc>
          <w:tcPr>
            <w:tcW w:w="2059" w:type="dxa"/>
            <w:vMerge w:val="restart"/>
            <w:tcBorders>
              <w:tl2br w:val="nil"/>
              <w:tr2bl w:val="nil"/>
            </w:tcBorders>
            <w:vAlign w:val="center"/>
          </w:tcPr>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指标值</w:t>
            </w:r>
          </w:p>
          <w:p>
            <w:pPr>
              <w:widowControl/>
              <w:adjustRightInd w:val="0"/>
              <w:snapToGrid w:val="0"/>
              <w:jc w:val="center"/>
              <w:rPr>
                <w:rFonts w:hint="eastAsia" w:ascii="FangSong_GB2312" w:hAnsi="FangSong_GB2312" w:eastAsia="FangSong_GB2312" w:cs="FangSong_GB2312"/>
                <w:b/>
                <w:szCs w:val="21"/>
              </w:rPr>
            </w:pPr>
            <w:r>
              <w:rPr>
                <w:rFonts w:hint="eastAsia" w:ascii="FangSong_GB2312" w:hAnsi="FangSong_GB2312" w:eastAsia="FangSong_GB2312" w:cs="FangSong_GB2312"/>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88" w:type="dxa"/>
            <w:vMerge w:val="continue"/>
            <w:tcBorders>
              <w:tl2br w:val="nil"/>
              <w:tr2bl w:val="nil"/>
            </w:tcBorders>
            <w:vAlign w:val="center"/>
          </w:tcPr>
          <w:p>
            <w:pPr>
              <w:spacing w:line="584" w:lineRule="exact"/>
            </w:pPr>
          </w:p>
        </w:tc>
        <w:tc>
          <w:tcPr>
            <w:tcW w:w="893" w:type="dxa"/>
            <w:vMerge w:val="continue"/>
            <w:tcBorders>
              <w:tl2br w:val="nil"/>
              <w:tr2bl w:val="nil"/>
            </w:tcBorders>
            <w:vAlign w:val="center"/>
          </w:tcPr>
          <w:p>
            <w:pPr>
              <w:spacing w:line="584" w:lineRule="exact"/>
            </w:pPr>
          </w:p>
        </w:tc>
        <w:tc>
          <w:tcPr>
            <w:tcW w:w="1916" w:type="dxa"/>
            <w:vMerge w:val="continue"/>
            <w:tcBorders>
              <w:tl2br w:val="nil"/>
              <w:tr2bl w:val="nil"/>
            </w:tcBorders>
            <w:vAlign w:val="center"/>
          </w:tcPr>
          <w:p>
            <w:pPr>
              <w:spacing w:line="584" w:lineRule="exact"/>
            </w:pPr>
          </w:p>
        </w:tc>
        <w:tc>
          <w:tcPr>
            <w:tcW w:w="4026" w:type="dxa"/>
            <w:vMerge w:val="continue"/>
            <w:tcBorders>
              <w:tl2br w:val="nil"/>
              <w:tr2bl w:val="nil"/>
            </w:tcBorders>
            <w:vAlign w:val="center"/>
          </w:tcPr>
          <w:p>
            <w:pPr>
              <w:spacing w:line="584" w:lineRule="exact"/>
            </w:pPr>
          </w:p>
        </w:tc>
        <w:tc>
          <w:tcPr>
            <w:tcW w:w="2871" w:type="dxa"/>
            <w:vMerge w:val="continue"/>
            <w:tcBorders>
              <w:tl2br w:val="nil"/>
              <w:tr2bl w:val="nil"/>
            </w:tcBorders>
            <w:vAlign w:val="center"/>
          </w:tcPr>
          <w:p>
            <w:pPr>
              <w:spacing w:line="584" w:lineRule="exact"/>
            </w:pPr>
          </w:p>
        </w:tc>
        <w:tc>
          <w:tcPr>
            <w:tcW w:w="612" w:type="dxa"/>
            <w:tcBorders>
              <w:tl2br w:val="nil"/>
              <w:tr2bl w:val="nil"/>
            </w:tcBorders>
            <w:vAlign w:val="center"/>
          </w:tcPr>
          <w:p>
            <w:pPr>
              <w:widowControl/>
              <w:adjustRightInd w:val="0"/>
              <w:snapToGrid w:val="0"/>
              <w:spacing w:line="584" w:lineRule="exact"/>
              <w:jc w:val="center"/>
              <w:rPr>
                <w:rFonts w:hint="eastAsia" w:ascii="FangSong_GB2312" w:hAnsi="FangSong_GB2312" w:eastAsia="FangSong_GB2312" w:cs="FangSong_GB2312"/>
                <w:b/>
              </w:rPr>
            </w:pPr>
            <w:r>
              <w:rPr>
                <w:rFonts w:hint="eastAsia" w:ascii="FangSong_GB2312" w:hAnsi="FangSong_GB2312" w:eastAsia="FangSong_GB2312" w:cs="FangSong_GB2312"/>
                <w:b/>
              </w:rPr>
              <w:t>符号</w:t>
            </w:r>
          </w:p>
        </w:tc>
        <w:tc>
          <w:tcPr>
            <w:tcW w:w="706" w:type="dxa"/>
            <w:tcBorders>
              <w:tl2br w:val="nil"/>
              <w:tr2bl w:val="nil"/>
            </w:tcBorders>
            <w:vAlign w:val="center"/>
          </w:tcPr>
          <w:p>
            <w:pPr>
              <w:widowControl/>
              <w:adjustRightInd w:val="0"/>
              <w:snapToGrid w:val="0"/>
              <w:spacing w:line="584" w:lineRule="exact"/>
              <w:jc w:val="center"/>
              <w:rPr>
                <w:rFonts w:hint="eastAsia" w:ascii="FangSong_GB2312" w:hAnsi="FangSong_GB2312" w:eastAsia="FangSong_GB2312" w:cs="FangSong_GB2312"/>
                <w:b/>
              </w:rPr>
            </w:pPr>
            <w:r>
              <w:rPr>
                <w:rFonts w:hint="eastAsia" w:ascii="FangSong_GB2312" w:hAnsi="FangSong_GB2312" w:eastAsia="FangSong_GB2312" w:cs="FangSong_GB2312"/>
                <w:b/>
              </w:rPr>
              <w:t>值</w:t>
            </w:r>
          </w:p>
        </w:tc>
        <w:tc>
          <w:tcPr>
            <w:tcW w:w="652" w:type="dxa"/>
            <w:tcBorders>
              <w:tl2br w:val="nil"/>
              <w:tr2bl w:val="nil"/>
            </w:tcBorders>
            <w:vAlign w:val="center"/>
          </w:tcPr>
          <w:p>
            <w:pPr>
              <w:widowControl/>
              <w:adjustRightInd w:val="0"/>
              <w:snapToGrid w:val="0"/>
              <w:spacing w:line="584" w:lineRule="exact"/>
              <w:jc w:val="center"/>
              <w:rPr>
                <w:rFonts w:hint="eastAsia" w:ascii="FangSong_GB2312" w:hAnsi="FangSong_GB2312" w:eastAsia="FangSong_GB2312" w:cs="FangSong_GB2312"/>
                <w:b/>
              </w:rPr>
            </w:pPr>
            <w:r>
              <w:rPr>
                <w:rFonts w:hint="eastAsia" w:ascii="FangSong_GB2312" w:hAnsi="FangSong_GB2312" w:eastAsia="FangSong_GB2312" w:cs="FangSong_GB2312"/>
                <w:b/>
              </w:rPr>
              <w:t>单位</w:t>
            </w:r>
          </w:p>
        </w:tc>
        <w:tc>
          <w:tcPr>
            <w:tcW w:w="2059"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108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监测微站建设数量</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建设空气质量监测微站个数少于27个，扣除数量指标分值</w:t>
            </w:r>
            <w:r>
              <w:rPr>
                <w:rFonts w:hint="eastAsia" w:ascii="FangSong_GB2312" w:hAnsi="FangSong_GB2312" w:eastAsia="FangSong_GB2312" w:cs="FangSong_GB2312"/>
                <w:szCs w:val="21"/>
                <w:lang w:val="en-US" w:eastAsia="zh-CN"/>
              </w:rPr>
              <w:t>5</w:t>
            </w:r>
            <w:r>
              <w:rPr>
                <w:rFonts w:hint="eastAsia" w:ascii="FangSong_GB2312" w:hAnsi="FangSong_GB2312" w:eastAsia="FangSong_GB2312" w:cs="FangSong_GB2312"/>
                <w:szCs w:val="21"/>
              </w:rPr>
              <w:t>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实际建设空气监测微站个数</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val="en-US" w:eastAsia="zh-CN"/>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val="en-US" w:eastAsia="zh-CN"/>
              </w:rPr>
              <w:t>27</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个</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5" w:hRule="atLeast"/>
          <w:jc w:val="center"/>
        </w:trPr>
        <w:tc>
          <w:tcPr>
            <w:tcW w:w="108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淘汰燃煤锅炉企业数量</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淘汰燃煤锅炉企业数量</w:t>
            </w:r>
            <w:r>
              <w:rPr>
                <w:rFonts w:hint="eastAsia" w:ascii="FangSong_GB2312" w:hAnsi="FangSong_GB2312" w:eastAsia="FangSong_GB2312" w:cs="FangSong_GB2312"/>
                <w:szCs w:val="21"/>
                <w:lang w:eastAsia="zh-CN"/>
              </w:rPr>
              <w:t>大</w:t>
            </w:r>
            <w:r>
              <w:rPr>
                <w:rFonts w:hint="eastAsia" w:ascii="FangSong_GB2312" w:hAnsi="FangSong_GB2312" w:eastAsia="FangSong_GB2312" w:cs="FangSong_GB2312"/>
                <w:szCs w:val="21"/>
              </w:rPr>
              <w:t>于300家，扣除数量指标分值</w:t>
            </w:r>
            <w:r>
              <w:rPr>
                <w:rFonts w:hint="eastAsia" w:ascii="FangSong_GB2312" w:hAnsi="FangSong_GB2312" w:eastAsia="FangSong_GB2312" w:cs="FangSong_GB2312"/>
                <w:szCs w:val="21"/>
                <w:lang w:val="en-US" w:eastAsia="zh-CN"/>
              </w:rPr>
              <w:t>5</w:t>
            </w:r>
            <w:r>
              <w:rPr>
                <w:rFonts w:hint="eastAsia" w:ascii="FangSong_GB2312" w:hAnsi="FangSong_GB2312" w:eastAsia="FangSong_GB2312" w:cs="FangSong_GB2312"/>
                <w:szCs w:val="21"/>
              </w:rPr>
              <w:t>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淘汰燃煤锅炉企业数量</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val="en-US" w:eastAsia="zh-CN"/>
              </w:rPr>
              <w:t>300</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家</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4"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验收合格率</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验收合格率小于100%，扣除质量指标分值100%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验收合格的占总数量的比率</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100</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2"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项目按时完成率</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项目按时完成率小于100%，扣除时效指标100%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项目按时完成率</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100</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7"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监测微站建设单位成本</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监测微站建设单位成本</w:t>
            </w:r>
            <w:r>
              <w:rPr>
                <w:rFonts w:hint="eastAsia" w:ascii="FangSong_GB2312" w:hAnsi="FangSong_GB2312" w:eastAsia="FangSong_GB2312" w:cs="FangSong_GB2312"/>
                <w:szCs w:val="21"/>
                <w:lang w:eastAsia="zh-CN"/>
              </w:rPr>
              <w:t>超过</w:t>
            </w:r>
            <w:r>
              <w:rPr>
                <w:rFonts w:hint="eastAsia" w:ascii="FangSong_GB2312" w:hAnsi="FangSong_GB2312" w:eastAsia="FangSong_GB2312" w:cs="FangSong_GB2312"/>
                <w:szCs w:val="21"/>
                <w:lang w:val="en-US" w:eastAsia="zh-CN"/>
              </w:rPr>
              <w:t>0.1万元，扣成本指标分值50%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监测微站建设单位成本</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val="en-US" w:eastAsia="zh-CN"/>
              </w:rPr>
              <w:t>0.1</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万元</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每蒸吨补贴成本</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每蒸吨补贴成本</w:t>
            </w:r>
            <w:r>
              <w:rPr>
                <w:rFonts w:hint="eastAsia" w:ascii="FangSong_GB2312" w:hAnsi="FangSong_GB2312" w:eastAsia="FangSong_GB2312" w:cs="FangSong_GB2312"/>
                <w:szCs w:val="21"/>
                <w:lang w:eastAsia="zh-CN"/>
              </w:rPr>
              <w:t>超过</w:t>
            </w:r>
            <w:r>
              <w:rPr>
                <w:rFonts w:hint="eastAsia" w:ascii="FangSong_GB2312" w:hAnsi="FangSong_GB2312" w:eastAsia="FangSong_GB2312" w:cs="FangSong_GB2312"/>
                <w:szCs w:val="21"/>
                <w:lang w:val="en-US" w:eastAsia="zh-CN"/>
              </w:rPr>
              <w:t>20万元，扣成本指标分值50%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每蒸吨补贴成本</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val="en-US" w:eastAsia="zh-CN"/>
              </w:rPr>
              <w:t>20</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万元</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1" w:hRule="atLeast"/>
          <w:jc w:val="center"/>
        </w:trPr>
        <w:tc>
          <w:tcPr>
            <w:tcW w:w="108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提高居民居住舒适度</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lang w:eastAsia="zh-CN"/>
              </w:rPr>
              <w:t>未提高居民居住舒适度，扣社会效益指标分值</w:t>
            </w:r>
            <w:r>
              <w:rPr>
                <w:rFonts w:hint="eastAsia" w:ascii="FangSong_GB2312" w:hAnsi="FangSong_GB2312" w:eastAsia="FangSong_GB2312" w:cs="FangSong_GB2312"/>
                <w:szCs w:val="21"/>
                <w:lang w:val="en-US" w:eastAsia="zh-CN"/>
              </w:rPr>
              <w:t>100%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提高居民居住舒适度</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文字描述</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lang w:eastAsia="zh-CN"/>
              </w:rPr>
            </w:pPr>
            <w:r>
              <w:rPr>
                <w:rFonts w:hint="eastAsia" w:ascii="FangSong_GB2312" w:hAnsi="FangSong_GB2312" w:eastAsia="FangSong_GB2312" w:cs="FangSong_GB2312"/>
                <w:szCs w:val="21"/>
                <w:lang w:eastAsia="zh-CN"/>
              </w:rPr>
              <w:t>提升</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59"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1916"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污染物排放降低</w:t>
            </w:r>
          </w:p>
        </w:tc>
        <w:tc>
          <w:tcPr>
            <w:tcW w:w="4026" w:type="dxa"/>
            <w:tcBorders>
              <w:tl2br w:val="nil"/>
              <w:tr2bl w:val="nil"/>
            </w:tcBorders>
            <w:vAlign w:val="center"/>
          </w:tcPr>
          <w:p>
            <w:pPr>
              <w:widowControl/>
              <w:adjustRightInd w:val="0"/>
              <w:snapToGrid w:val="0"/>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szCs w:val="21"/>
              </w:rPr>
              <w:t>污染物排放总量同期</w:t>
            </w:r>
            <w:r>
              <w:rPr>
                <w:rFonts w:hint="eastAsia" w:ascii="FangSong_GB2312" w:hAnsi="FangSong_GB2312" w:eastAsia="FangSong_GB2312" w:cs="FangSong_GB2312"/>
                <w:szCs w:val="21"/>
                <w:lang w:eastAsia="zh-CN"/>
              </w:rPr>
              <w:t>未</w:t>
            </w:r>
            <w:r>
              <w:rPr>
                <w:rFonts w:hint="eastAsia" w:ascii="FangSong_GB2312" w:hAnsi="FangSong_GB2312" w:eastAsia="FangSong_GB2312" w:cs="FangSong_GB2312"/>
                <w:szCs w:val="21"/>
              </w:rPr>
              <w:t>下降</w:t>
            </w:r>
            <w:r>
              <w:rPr>
                <w:rFonts w:hint="eastAsia" w:ascii="FangSong_GB2312" w:hAnsi="FangSong_GB2312" w:eastAsia="FangSong_GB2312" w:cs="FangSong_GB2312"/>
                <w:szCs w:val="21"/>
                <w:lang w:eastAsia="zh-CN"/>
              </w:rPr>
              <w:t>，扣生态效益指标分值</w:t>
            </w:r>
            <w:r>
              <w:rPr>
                <w:rFonts w:hint="eastAsia" w:ascii="FangSong_GB2312" w:hAnsi="FangSong_GB2312" w:eastAsia="FangSong_GB2312" w:cs="FangSong_GB2312"/>
                <w:szCs w:val="21"/>
                <w:lang w:val="en-US" w:eastAsia="zh-CN"/>
              </w:rPr>
              <w:t>100%</w:t>
            </w:r>
          </w:p>
        </w:tc>
        <w:tc>
          <w:tcPr>
            <w:tcW w:w="2871" w:type="dxa"/>
            <w:tcBorders>
              <w:tl2br w:val="nil"/>
              <w:tr2bl w:val="nil"/>
            </w:tcBorders>
            <w:vAlign w:val="center"/>
          </w:tcPr>
          <w:p>
            <w:pPr>
              <w:widowControl/>
              <w:adjustRightInd w:val="0"/>
              <w:snapToGrid w:val="0"/>
              <w:rPr>
                <w:rFonts w:hint="eastAsia" w:ascii="FangSong_GB2312" w:hAnsi="FangSong_GB2312" w:eastAsia="FangSong_GB2312" w:cs="FangSong_GB2312"/>
                <w:szCs w:val="21"/>
              </w:rPr>
            </w:pPr>
            <w:r>
              <w:rPr>
                <w:rFonts w:hint="eastAsia" w:ascii="FangSong_GB2312" w:hAnsi="FangSong_GB2312" w:eastAsia="FangSong_GB2312" w:cs="FangSong_GB2312"/>
                <w:szCs w:val="21"/>
              </w:rPr>
              <w:t>污染物排放总量同期下降</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lang w:eastAsia="zh-CN"/>
              </w:rPr>
              <w:t>文字描述</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降低</w:t>
            </w:r>
          </w:p>
        </w:tc>
        <w:tc>
          <w:tcPr>
            <w:tcW w:w="2059"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8" w:hRule="atLeast"/>
          <w:jc w:val="center"/>
        </w:trPr>
        <w:tc>
          <w:tcPr>
            <w:tcW w:w="1088" w:type="dxa"/>
            <w:vMerge w:val="continue"/>
            <w:tcBorders>
              <w:tl2br w:val="nil"/>
              <w:tr2bl w:val="nil"/>
            </w:tcBorders>
            <w:vAlign w:val="center"/>
          </w:tcPr>
          <w:p>
            <w:pPr>
              <w:spacing w:line="584" w:lineRule="exact"/>
            </w:pPr>
          </w:p>
        </w:tc>
        <w:tc>
          <w:tcPr>
            <w:tcW w:w="89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916" w:type="dxa"/>
            <w:tcBorders>
              <w:tl2br w:val="nil"/>
              <w:tr2bl w:val="nil"/>
            </w:tcBorders>
            <w:noWrap/>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服务对象满意度</w:t>
            </w:r>
          </w:p>
        </w:tc>
        <w:tc>
          <w:tcPr>
            <w:tcW w:w="4026" w:type="dxa"/>
            <w:tcBorders>
              <w:tl2br w:val="nil"/>
              <w:tr2bl w:val="nil"/>
            </w:tcBorders>
            <w:noWrap/>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调查中服务对象满意人数占总服务对象人数的比率</w:t>
            </w:r>
          </w:p>
        </w:tc>
        <w:tc>
          <w:tcPr>
            <w:tcW w:w="2871" w:type="dxa"/>
            <w:tcBorders>
              <w:tl2br w:val="nil"/>
              <w:tr2bl w:val="nil"/>
            </w:tcBorders>
            <w:noWrap/>
            <w:vAlign w:val="center"/>
          </w:tcPr>
          <w:p>
            <w:pPr>
              <w:widowControl/>
              <w:adjustRightInd w:val="0"/>
              <w:snapToGrid w:val="0"/>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调查满意度小于95%，减少满意度分值100%</w:t>
            </w:r>
          </w:p>
        </w:tc>
        <w:tc>
          <w:tcPr>
            <w:tcW w:w="61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w:t>
            </w:r>
          </w:p>
        </w:tc>
        <w:tc>
          <w:tcPr>
            <w:tcW w:w="706"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95</w:t>
            </w:r>
          </w:p>
        </w:tc>
        <w:tc>
          <w:tcPr>
            <w:tcW w:w="652" w:type="dxa"/>
            <w:tcBorders>
              <w:tl2br w:val="nil"/>
              <w:tr2bl w:val="nil"/>
            </w:tcBorders>
            <w:vAlign w:val="center"/>
          </w:tcPr>
          <w:p>
            <w:pPr>
              <w:widowControl/>
              <w:adjustRightInd w:val="0"/>
              <w:snapToGrid w:val="0"/>
              <w:jc w:val="center"/>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szCs w:val="21"/>
              </w:rPr>
              <w:t>%</w:t>
            </w:r>
          </w:p>
        </w:tc>
        <w:tc>
          <w:tcPr>
            <w:tcW w:w="2059" w:type="dxa"/>
            <w:tcBorders>
              <w:tl2br w:val="nil"/>
              <w:tr2bl w:val="nil"/>
            </w:tcBorders>
            <w:vAlign w:val="center"/>
          </w:tcPr>
          <w:p>
            <w:pPr>
              <w:widowControl/>
              <w:jc w:val="center"/>
              <w:textAlignment w:val="top"/>
              <w:rPr>
                <w:rFonts w:hint="eastAsia" w:ascii="FangSong_GB2312" w:hAnsi="FangSong_GB2312" w:eastAsia="FangSong_GB2312" w:cs="FangSong_GB2312"/>
                <w:kern w:val="2"/>
                <w:sz w:val="21"/>
                <w:szCs w:val="21"/>
                <w:lang w:val="en-US" w:eastAsia="zh-CN" w:bidi="ar-SA"/>
              </w:rPr>
            </w:pPr>
            <w:r>
              <w:rPr>
                <w:rFonts w:hint="eastAsia" w:ascii="FangSong_GB2312" w:hAnsi="FangSong_GB2312" w:eastAsia="FangSong_GB2312" w:cs="FangSong_GB2312"/>
                <w:color w:val="000000"/>
                <w:kern w:val="0"/>
                <w:szCs w:val="21"/>
              </w:rPr>
              <w:t>问卷调查</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FangSong_GB2312" w:cs="Times New Roman"/>
        </w:rPr>
      </w:pPr>
      <w:r>
        <w:rPr>
          <w:rFonts w:ascii="Times New Roman" w:hAnsi="Times New Roman" w:eastAsia="FangSong_GB2312" w:cs="Times New Roman"/>
          <w:sz w:val="28"/>
        </w:rPr>
        <w:t>1.档案业务经费绩效目标表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409"/>
        <w:gridCol w:w="2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绩效目标</w:t>
            </w:r>
          </w:p>
        </w:tc>
        <w:tc>
          <w:tcPr>
            <w:tcW w:w="11653" w:type="dxa"/>
            <w:gridSpan w:val="5"/>
            <w:shd w:val="clear" w:color="auto" w:fill="auto"/>
            <w:vAlign w:val="center"/>
          </w:tcPr>
          <w:p>
            <w:pPr>
              <w:spacing w:line="584" w:lineRule="exact"/>
              <w:rPr>
                <w:rFonts w:ascii="Times New Roman" w:hAnsi="Times New Roman" w:eastAsia="FangSong_GB2312" w:cs="Times New Roman"/>
                <w:b/>
              </w:rPr>
            </w:pPr>
            <w:r>
              <w:rPr>
                <w:rFonts w:hint="eastAsia" w:ascii="FangSong_GB2312" w:hAnsi="FangSong_GB2312" w:eastAsia="FangSong_GB2312" w:cs="FangSong_GB2312"/>
              </w:rPr>
              <w:t>1.通过加强档案业务管理，实现档案工作目标管理达到2A级。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一级指标</w:t>
            </w:r>
          </w:p>
        </w:tc>
        <w:tc>
          <w:tcPr>
            <w:tcW w:w="2268"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二级指标</w:t>
            </w:r>
          </w:p>
        </w:tc>
        <w:tc>
          <w:tcPr>
            <w:tcW w:w="1985"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三级指标</w:t>
            </w:r>
          </w:p>
        </w:tc>
        <w:tc>
          <w:tcPr>
            <w:tcW w:w="3402"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绩效指标描述</w:t>
            </w:r>
          </w:p>
        </w:tc>
        <w:tc>
          <w:tcPr>
            <w:tcW w:w="140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指标值</w:t>
            </w:r>
          </w:p>
        </w:tc>
        <w:tc>
          <w:tcPr>
            <w:tcW w:w="258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产出指标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数量指标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购置国产单机版档案管理系统数量</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购置国产单机版档案管理系统数量</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1套</w:t>
            </w:r>
          </w:p>
        </w:tc>
        <w:tc>
          <w:tcPr>
            <w:tcW w:w="2589" w:type="dxa"/>
            <w:shd w:val="clear" w:color="auto" w:fill="auto"/>
            <w:vAlign w:val="center"/>
          </w:tcPr>
          <w:p>
            <w:pPr>
              <w:pStyle w:val="18"/>
              <w:ind w:left="210" w:hanging="210" w:hangingChars="100"/>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《中共三河市委办公</w:t>
            </w:r>
            <w:r>
              <w:rPr>
                <w:rFonts w:hint="eastAsia" w:ascii="FangSong_GB2312" w:hAnsi="FangSong_GB2312" w:eastAsia="FangSong_GB2312" w:cs="FangSong_GB2312"/>
                <w:lang w:eastAsia="zh-CN"/>
              </w:rPr>
              <w:t>室关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数量指标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经费保障数量</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经费保障数量</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1项</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质量指标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验收合格率</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国产单机版档案管理系统验收合格率</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质量指标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运转保障率</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档案工作保障率</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时效指标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项目及时率</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项目及时率</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成本指标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国产单机版档案管理系统的单位成本</w:t>
            </w:r>
          </w:p>
        </w:tc>
        <w:tc>
          <w:tcPr>
            <w:tcW w:w="3402" w:type="dxa"/>
            <w:shd w:val="clear" w:color="auto" w:fill="auto"/>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每套国产单机版档案管理系统的成本</w:t>
            </w:r>
          </w:p>
          <w:p>
            <w:pPr>
              <w:pStyle w:val="18"/>
              <w:rPr>
                <w:rFonts w:hint="eastAsia" w:ascii="FangSong_GB2312" w:hAnsi="FangSong_GB2312" w:eastAsia="FangSong_GB2312" w:cs="FangSong_GB2312"/>
                <w:kern w:val="0"/>
                <w:sz w:val="21"/>
                <w:szCs w:val="24"/>
                <w:lang w:val="en-US" w:eastAsia="uk-UA" w:bidi="ar-SA"/>
              </w:rPr>
            </w:pP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≤2万元</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成本指标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经费保障单位成本</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每项经费保障的成本</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≤0.5万元</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效果指标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社会效益指标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保障单位档案工作正常运转</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保障单位档案工作正常运转</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正常运转</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《中共三河市委</w:t>
            </w:r>
            <w:r>
              <w:rPr>
                <w:rFonts w:hint="eastAsia" w:ascii="仿宋_GB2312" w:hAnsi="仿宋_GB2312" w:eastAsia="仿宋_GB2312" w:cs="仿宋_GB2312"/>
              </w:rPr>
              <w:t>办公</w:t>
            </w:r>
            <w:r>
              <w:rPr>
                <w:rFonts w:hint="eastAsia" w:ascii="仿宋_GB2312" w:hAnsi="仿宋_GB2312" w:eastAsia="仿宋_GB2312" w:cs="仿宋_GB2312"/>
                <w:lang w:eastAsia="zh-CN"/>
              </w:rPr>
              <w:t>室</w:t>
            </w:r>
            <w:r>
              <w:rPr>
                <w:rFonts w:hint="eastAsia" w:ascii="FangSong_GB2312" w:hAnsi="FangSong_GB2312" w:eastAsia="宋体" w:cs="FangSong_GB2312"/>
                <w:lang w:eastAsia="zh-CN"/>
              </w:rPr>
              <w:t>关</w:t>
            </w:r>
            <w:r>
              <w:rPr>
                <w:rFonts w:hint="eastAsia" w:ascii="FangSong_GB2312" w:hAnsi="FangSong_GB2312" w:eastAsia="FangSong_GB2312" w:cs="FangSong_GB2312"/>
              </w:rPr>
              <w:t>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满意度指标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服务对象满意度指标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服务对象满意度</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调查中满意的人数占总人数的比率</w:t>
            </w:r>
          </w:p>
        </w:tc>
        <w:tc>
          <w:tcPr>
            <w:tcW w:w="140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≥92%</w:t>
            </w:r>
          </w:p>
        </w:tc>
        <w:tc>
          <w:tcPr>
            <w:tcW w:w="2589"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问卷调查</w:t>
            </w:r>
          </w:p>
        </w:tc>
      </w:tr>
    </w:tbl>
    <w:p>
      <w:pPr>
        <w:spacing w:line="584" w:lineRule="exact"/>
        <w:ind w:firstLine="560" w:firstLineChars="200"/>
        <w:jc w:val="left"/>
        <w:outlineLvl w:val="1"/>
        <w:rPr>
          <w:rFonts w:ascii="Times New Roman" w:hAnsi="Times New Roman" w:eastAsia="FangSong_GB2312" w:cs="Times New Roman"/>
          <w:sz w:val="28"/>
        </w:rPr>
      </w:pPr>
    </w:p>
    <w:p>
      <w:pPr>
        <w:spacing w:line="584" w:lineRule="exact"/>
        <w:ind w:firstLine="560" w:firstLineChars="200"/>
        <w:jc w:val="left"/>
        <w:outlineLvl w:val="1"/>
        <w:rPr>
          <w:rFonts w:ascii="Times New Roman" w:hAnsi="Times New Roman" w:eastAsia="FangSong_GB2312" w:cs="Times New Roman"/>
          <w:sz w:val="28"/>
        </w:rPr>
      </w:pPr>
    </w:p>
    <w:p>
      <w:pPr>
        <w:spacing w:line="584" w:lineRule="exact"/>
        <w:ind w:firstLine="560" w:firstLineChars="200"/>
        <w:jc w:val="left"/>
        <w:outlineLvl w:val="1"/>
        <w:rPr>
          <w:rFonts w:ascii="Times New Roman" w:hAnsi="Times New Roman" w:eastAsia="FangSong_GB2312" w:cs="Times New Roman"/>
          <w:sz w:val="28"/>
        </w:rPr>
      </w:pPr>
    </w:p>
    <w:p>
      <w:pPr>
        <w:spacing w:line="584" w:lineRule="exact"/>
        <w:ind w:firstLine="560" w:firstLineChars="200"/>
        <w:jc w:val="left"/>
        <w:outlineLvl w:val="1"/>
        <w:rPr>
          <w:rFonts w:ascii="Times New Roman" w:hAnsi="Times New Roman" w:eastAsia="FangSong_GB2312" w:cs="Times New Roman"/>
        </w:rPr>
      </w:pPr>
      <w:r>
        <w:rPr>
          <w:rFonts w:ascii="Times New Roman" w:hAnsi="Times New Roman" w:eastAsia="FangSong_GB2312" w:cs="Times New Roman"/>
          <w:sz w:val="28"/>
        </w:rPr>
        <w:t>2.第二次全国污染源普查工作经费绩效目标表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395"/>
        <w:gridCol w:w="2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绩效目标</w:t>
            </w:r>
          </w:p>
        </w:tc>
        <w:tc>
          <w:tcPr>
            <w:tcW w:w="11653" w:type="dxa"/>
            <w:gridSpan w:val="5"/>
            <w:shd w:val="clear" w:color="auto" w:fill="auto"/>
            <w:vAlign w:val="center"/>
          </w:tcPr>
          <w:p>
            <w:pPr>
              <w:spacing w:line="584" w:lineRule="exact"/>
              <w:rPr>
                <w:rFonts w:ascii="Times New Roman" w:hAnsi="Times New Roman" w:eastAsia="FangSong_GB2312" w:cs="Times New Roman"/>
                <w:b/>
              </w:rPr>
            </w:pPr>
            <w:r>
              <w:rPr>
                <w:rFonts w:hint="eastAsia" w:ascii="FangSong_GB2312" w:hAnsi="FangSong_GB2312" w:eastAsia="FangSong_GB2312" w:cs="FangSong_GB2312"/>
              </w:rPr>
              <w:t>1.通过项目的开展完成各类污染源数据更新工作，更新污染源普查的基本数据，为加强污染源监管、改善环境质量、防控环境风险、服务环境与发展综合决策提供依据。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一级指标</w:t>
            </w:r>
          </w:p>
        </w:tc>
        <w:tc>
          <w:tcPr>
            <w:tcW w:w="2268"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二级指标</w:t>
            </w:r>
          </w:p>
        </w:tc>
        <w:tc>
          <w:tcPr>
            <w:tcW w:w="1985"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三级指标</w:t>
            </w:r>
          </w:p>
        </w:tc>
        <w:tc>
          <w:tcPr>
            <w:tcW w:w="3402"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绩效指标描述</w:t>
            </w:r>
          </w:p>
        </w:tc>
        <w:tc>
          <w:tcPr>
            <w:tcW w:w="1395"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指标值</w:t>
            </w:r>
          </w:p>
        </w:tc>
        <w:tc>
          <w:tcPr>
            <w:tcW w:w="2603" w:type="dxa"/>
            <w:shd w:val="clear" w:color="auto" w:fill="auto"/>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产出指标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数量指标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污染源普查工作数量</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污染源普查工作任务数量</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1项</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质量指标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验收通过率</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数据填报工作验收通过率</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《廊坊市第二次全国污染源普查领导小组办公室关于开展廊坊市第二次全国污染源普查验收工作的通知》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时效指标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按期完成率</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普查工作按期完成率</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《廊坊市生态环境局三河市分局第二次全国污染源普查工作经费合同》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成本指标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项目尾款</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上一年项目尾款</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17.36万元</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成本指标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污染源数据更新成本</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污染源数据更新成本</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≤50万元</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效果指标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生态效益指标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为改善环境质量提供依据</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仿宋_GB2312" w:hAnsi="仿宋_GB2312" w:eastAsia="仿宋_GB2312" w:cs="仿宋_GB2312"/>
                <w:lang w:eastAsia="zh-CN"/>
              </w:rPr>
              <w:t>健全</w:t>
            </w:r>
            <w:r>
              <w:rPr>
                <w:rFonts w:hint="eastAsia" w:ascii="FangSong_GB2312" w:hAnsi="FangSong_GB2312" w:eastAsia="FangSong_GB2312" w:cs="FangSong_GB2312"/>
              </w:rPr>
              <w:t>污染源信息技术库</w:t>
            </w:r>
            <w:r>
              <w:rPr>
                <w:rFonts w:hint="eastAsia" w:ascii="FangSong_GB2312" w:hAnsi="FangSong_GB2312" w:eastAsia="宋体" w:cs="FangSong_GB2312"/>
                <w:lang w:eastAsia="zh-CN"/>
              </w:rPr>
              <w:t>，</w:t>
            </w:r>
            <w:r>
              <w:rPr>
                <w:rFonts w:hint="eastAsia" w:ascii="FangSong_GB2312" w:hAnsi="FangSong_GB2312" w:eastAsia="FangSong_GB2312" w:cs="FangSong_GB2312"/>
              </w:rPr>
              <w:t>为改善环境质量提供依据</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提供依据</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FangSong_GB2312" w:cs="Times New Roman"/>
              </w:rPr>
            </w:pP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社会效益指标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为服务环境与发展综合决策提供依据</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为服务环境与发展综合决策提供依据</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提供依据</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FangSong_GB2312" w:cs="Times New Roman"/>
              </w:rPr>
            </w:pPr>
            <w:r>
              <w:rPr>
                <w:rFonts w:ascii="Times New Roman" w:hAnsi="Times New Roman" w:eastAsia="FangSong_GB2312" w:cs="Times New Roman"/>
              </w:rPr>
              <w:t>满意度指标</w:t>
            </w:r>
          </w:p>
        </w:tc>
        <w:tc>
          <w:tcPr>
            <w:tcW w:w="2268"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服务对象满意度指标</w:t>
            </w:r>
          </w:p>
        </w:tc>
        <w:tc>
          <w:tcPr>
            <w:tcW w:w="1985"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服务对象满意度</w:t>
            </w:r>
          </w:p>
        </w:tc>
        <w:tc>
          <w:tcPr>
            <w:tcW w:w="3402" w:type="dxa"/>
            <w:shd w:val="clear" w:color="auto" w:fill="auto"/>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调查中满意和较满意的人数占调查总人数的比率</w:t>
            </w:r>
          </w:p>
        </w:tc>
        <w:tc>
          <w:tcPr>
            <w:tcW w:w="1395"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≥90%</w:t>
            </w:r>
          </w:p>
        </w:tc>
        <w:tc>
          <w:tcPr>
            <w:tcW w:w="2603" w:type="dxa"/>
            <w:shd w:val="clear" w:color="auto" w:fill="auto"/>
            <w:vAlign w:val="center"/>
          </w:tcPr>
          <w:p>
            <w:pPr>
              <w:pStyle w:val="18"/>
              <w:jc w:val="left"/>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问卷调查</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FangSong_GB2312" w:cs="Times New Roman"/>
          <w:sz w:val="28"/>
        </w:rPr>
      </w:pPr>
    </w:p>
    <w:p>
      <w:pPr>
        <w:spacing w:line="584" w:lineRule="exact"/>
        <w:ind w:firstLine="560" w:firstLineChars="200"/>
        <w:jc w:val="left"/>
        <w:outlineLvl w:val="1"/>
        <w:rPr>
          <w:rFonts w:ascii="Times New Roman" w:hAnsi="Times New Roman" w:eastAsia="FangSong_GB2312" w:cs="Times New Roman"/>
          <w:sz w:val="28"/>
        </w:rPr>
      </w:pPr>
      <w:bookmarkStart w:id="2" w:name="_GoBack"/>
      <w:bookmarkEnd w:id="2"/>
      <w:r>
        <w:rPr>
          <w:rFonts w:ascii="Times New Roman" w:hAnsi="Times New Roman" w:eastAsia="FangSong_GB2312" w:cs="Times New Roman"/>
          <w:sz w:val="28"/>
        </w:rPr>
        <w:t>3</w:t>
      </w:r>
      <w:r>
        <w:rPr>
          <w:rFonts w:hint="eastAsia" w:ascii="Times New Roman" w:hAnsi="Times New Roman" w:eastAsia="FangSong_GB2312" w:cs="Times New Roman"/>
          <w:sz w:val="28"/>
          <w:lang w:eastAsia="zh-CN"/>
        </w:rPr>
        <w:t>.</w:t>
      </w:r>
      <w:r>
        <w:rPr>
          <w:rFonts w:ascii="Times New Roman" w:hAnsi="Times New Roman" w:eastAsia="FangSong_GB2312" w:cs="Times New Roman"/>
          <w:sz w:val="28"/>
        </w:rPr>
        <w:t>第二次全国污染源普查工作业务费绩效目标表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spacing w:line="584" w:lineRule="exact"/>
              <w:jc w:val="center"/>
              <w:rPr>
                <w:rFonts w:ascii="Times New Roman" w:hAnsi="Times New Roman" w:eastAsia="FangSong_GB2312" w:cs="Times New Roman"/>
                <w:b/>
              </w:rPr>
            </w:pPr>
            <w:r>
              <w:rPr>
                <w:rFonts w:ascii="Times New Roman" w:hAnsi="Times New Roman" w:eastAsia="FangSong_GB2312" w:cs="Times New Roman"/>
                <w:b/>
                <w:lang w:val="en-US" w:eastAsia="zh-CN"/>
              </w:rPr>
              <w:t>绩效目标</w:t>
            </w:r>
          </w:p>
        </w:tc>
        <w:tc>
          <w:tcPr>
            <w:tcW w:w="12331" w:type="dxa"/>
            <w:tcBorders>
              <w:bottom w:val="single" w:color="FFFFFF" w:sz="6" w:space="0"/>
            </w:tcBorders>
            <w:vAlign w:val="center"/>
          </w:tcPr>
          <w:p>
            <w:pPr>
              <w:spacing w:line="584" w:lineRule="exact"/>
              <w:jc w:val="left"/>
              <w:rPr>
                <w:rFonts w:ascii="Times New Roman" w:hAnsi="Times New Roman" w:eastAsia="FangSong_GB2312" w:cs="Times New Roman"/>
                <w:b/>
              </w:rPr>
            </w:pPr>
            <w:r>
              <w:rPr>
                <w:rFonts w:hint="eastAsia" w:ascii="FangSong_GB2312" w:hAnsi="FangSong_GB2312" w:eastAsia="FangSong_GB2312" w:cs="FangSong_GB2312"/>
                <w:kern w:val="0"/>
                <w:sz w:val="21"/>
                <w:szCs w:val="24"/>
                <w:lang w:val="en-US" w:eastAsia="uk-UA" w:bidi="ar-SA"/>
              </w:rPr>
              <w:t>1.通过项目的开展完成各类污染源数据更新工作，更新污染源普查的基本数据，为加强污染源监管、改善环境质量、防控环境风险、服务环境与发展综合决策提供依据。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一级指标</w:t>
            </w:r>
          </w:p>
        </w:tc>
        <w:tc>
          <w:tcPr>
            <w:tcW w:w="246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二级指标</w:t>
            </w:r>
          </w:p>
        </w:tc>
        <w:tc>
          <w:tcPr>
            <w:tcW w:w="246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三级指标</w:t>
            </w:r>
          </w:p>
        </w:tc>
        <w:tc>
          <w:tcPr>
            <w:tcW w:w="246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绩效指标描述</w:t>
            </w:r>
          </w:p>
        </w:tc>
        <w:tc>
          <w:tcPr>
            <w:tcW w:w="197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指标值</w:t>
            </w:r>
          </w:p>
        </w:tc>
        <w:tc>
          <w:tcPr>
            <w:tcW w:w="2956" w:type="dxa"/>
            <w:vAlign w:val="center"/>
          </w:tcPr>
          <w:p>
            <w:pPr>
              <w:pStyle w:val="16"/>
              <w:rPr>
                <w:rFonts w:ascii="Times New Roman" w:hAnsi="Times New Roman" w:eastAsia="FangSong_GB2312" w:cs="Times New Roman"/>
                <w:b/>
                <w:kern w:val="2"/>
                <w:sz w:val="21"/>
                <w:szCs w:val="22"/>
                <w:lang w:val="en-US" w:eastAsia="zh-CN" w:bidi="ar-SA"/>
              </w:rPr>
            </w:pPr>
            <w:r>
              <w:rPr>
                <w:rFonts w:ascii="Times New Roman" w:hAnsi="Times New Roman" w:eastAsia="FangSong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rPr>
                <w:rFonts w:ascii="Times New Roman" w:hAnsi="Times New Roman" w:eastAsia="FangSong_GB2312" w:cs="Times New Roman"/>
                <w:kern w:val="2"/>
                <w:sz w:val="21"/>
                <w:szCs w:val="22"/>
                <w:lang w:val="en-US" w:eastAsia="zh-CN" w:bidi="ar-SA"/>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污染源普查工作数量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污染源普查工作任务数量</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验收通过率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数据填报工作验收通过率</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《廊坊市第二次全国污染源普查领导小组办公室关于开展廊坊市第二次全国污染源普查验收工作的通知》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普查工作按期完成率</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《廊坊市生态环境局三河市分局第二次全国污染源普查工作经费合同》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数据更新采购成本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数据更新采购成本</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≤40万元</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rPr>
                <w:rFonts w:ascii="Times New Roman" w:hAnsi="Times New Roman" w:eastAsia="FangSong_GB2312" w:cs="Times New Roman"/>
                <w:kern w:val="2"/>
                <w:sz w:val="21"/>
                <w:szCs w:val="22"/>
                <w:lang w:val="en-US" w:eastAsia="zh-CN" w:bidi="ar-SA"/>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为改善环境质量提供依据</w:t>
            </w:r>
          </w:p>
        </w:tc>
        <w:tc>
          <w:tcPr>
            <w:tcW w:w="2466" w:type="dxa"/>
            <w:vAlign w:val="center"/>
          </w:tcPr>
          <w:p>
            <w:pPr>
              <w:pStyle w:val="18"/>
              <w:rPr>
                <w:rFonts w:hint="eastAsia" w:ascii="FangSong_GB2312" w:hAnsi="FangSong_GB2312" w:eastAsia="FangSong_GB2312" w:cs="FangSong_GB2312"/>
              </w:rPr>
            </w:pPr>
            <w:r>
              <w:rPr>
                <w:rFonts w:hint="eastAsia" w:ascii="仿宋_GB2312" w:hAnsi="仿宋_GB2312" w:eastAsia="仿宋_GB2312" w:cs="仿宋_GB2312"/>
                <w:lang w:eastAsia="zh-CN"/>
              </w:rPr>
              <w:t>健全</w:t>
            </w:r>
            <w:r>
              <w:rPr>
                <w:rFonts w:hint="eastAsia" w:ascii="FangSong_GB2312" w:hAnsi="FangSong_GB2312" w:eastAsia="FangSong_GB2312" w:cs="FangSong_GB2312"/>
              </w:rPr>
              <w:t>污染源信息技术库</w:t>
            </w:r>
            <w:r>
              <w:rPr>
                <w:rFonts w:hint="eastAsia" w:ascii="FangSong_GB2312" w:hAnsi="FangSong_GB2312" w:eastAsia="宋体" w:cs="FangSong_GB2312"/>
                <w:lang w:eastAsia="zh-CN"/>
              </w:rPr>
              <w:t>，</w:t>
            </w:r>
            <w:r>
              <w:rPr>
                <w:rFonts w:hint="eastAsia" w:ascii="FangSong_GB2312" w:hAnsi="FangSong_GB2312" w:eastAsia="FangSong_GB2312" w:cs="FangSong_GB2312"/>
              </w:rPr>
              <w:t>为改善环境质量提供依据</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提供依据</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《廊坊市生态环境局三河市分局第二次全国污染源普查工作经费合同》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为服务环境与发展综合决策提供依据</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为服务环境与发展综合决策提供依据</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提供依据</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《廊坊市生态环境局三河市分局第二次全国污染源普查工作经费合同》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rPr>
                <w:rFonts w:ascii="Times New Roman" w:hAnsi="Times New Roman" w:eastAsia="FangSong_GB2312" w:cs="Times New Roman"/>
                <w:kern w:val="2"/>
                <w:sz w:val="21"/>
                <w:szCs w:val="22"/>
                <w:lang w:val="en-US" w:eastAsia="zh-CN" w:bidi="ar-SA"/>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调查中满意和较满意的人数占调查总人数的比率</w:t>
            </w:r>
          </w:p>
        </w:tc>
        <w:tc>
          <w:tcPr>
            <w:tcW w:w="197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2956" w:type="dxa"/>
            <w:vAlign w:val="center"/>
          </w:tcPr>
          <w:p>
            <w:pPr>
              <w:pStyle w:val="18"/>
              <w:jc w:val="left"/>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spacing w:line="584" w:lineRule="exact"/>
        <w:ind w:firstLine="560" w:firstLineChars="200"/>
        <w:jc w:val="left"/>
        <w:outlineLvl w:val="1"/>
        <w:rPr>
          <w:rFonts w:hint="eastAsia" w:ascii="Times New Roman" w:hAnsi="Times New Roman" w:eastAsia="FangSong_GB2312" w:cs="Times New Roman"/>
          <w:sz w:val="28"/>
        </w:rPr>
      </w:pPr>
    </w:p>
    <w:p>
      <w:pPr>
        <w:spacing w:line="584" w:lineRule="exact"/>
        <w:ind w:firstLine="560" w:firstLineChars="200"/>
        <w:jc w:val="left"/>
        <w:outlineLvl w:val="1"/>
        <w:rPr>
          <w:rFonts w:hint="eastAsia" w:ascii="Times New Roman" w:hAnsi="Times New Roman" w:eastAsia="FangSong_GB2312" w:cs="Times New Roman"/>
          <w:sz w:val="28"/>
        </w:rPr>
      </w:pPr>
    </w:p>
    <w:p>
      <w:pPr>
        <w:spacing w:line="584" w:lineRule="exact"/>
        <w:ind w:firstLine="560" w:firstLineChars="200"/>
        <w:jc w:val="left"/>
        <w:outlineLvl w:val="1"/>
        <w:rPr>
          <w:rFonts w:hint="eastAsia" w:ascii="Times New Roman" w:hAnsi="Times New Roman" w:eastAsia="FangSong_GB2312" w:cs="Times New Roman"/>
          <w:sz w:val="28"/>
        </w:r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4</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非道路移动机械尾气检测服务费绩效目标表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b/>
                <w:kern w:val="2"/>
                <w:sz w:val="21"/>
                <w:szCs w:val="22"/>
                <w:lang w:val="en-US" w:eastAsia="zh-CN" w:bidi="ar-SA"/>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1.通过开展非道路移动机械进行尾气检测工作有效降低我市非道路移动机械尾气排放污染。</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一级指标</w:t>
            </w:r>
          </w:p>
        </w:tc>
        <w:tc>
          <w:tcPr>
            <w:tcW w:w="246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二级指标</w:t>
            </w:r>
          </w:p>
        </w:tc>
        <w:tc>
          <w:tcPr>
            <w:tcW w:w="246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三级指标</w:t>
            </w:r>
          </w:p>
        </w:tc>
        <w:tc>
          <w:tcPr>
            <w:tcW w:w="246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绩效指标描述</w:t>
            </w:r>
          </w:p>
        </w:tc>
        <w:tc>
          <w:tcPr>
            <w:tcW w:w="197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指标值</w:t>
            </w:r>
          </w:p>
        </w:tc>
        <w:tc>
          <w:tcPr>
            <w:tcW w:w="2956" w:type="dxa"/>
            <w:vAlign w:val="center"/>
          </w:tcPr>
          <w:p>
            <w:pPr>
              <w:pStyle w:val="16"/>
              <w:rPr>
                <w:rFonts w:hint="eastAsia" w:ascii="FangSong_GB2312" w:hAnsi="FangSong_GB2312" w:eastAsia="FangSong_GB2312" w:cs="FangSong_GB2312"/>
                <w:b/>
                <w:kern w:val="2"/>
                <w:sz w:val="21"/>
                <w:szCs w:val="22"/>
                <w:lang w:val="en-US" w:eastAsia="zh-CN" w:bidi="ar-SA"/>
              </w:rPr>
            </w:pPr>
            <w:r>
              <w:rPr>
                <w:rFonts w:hint="eastAsia" w:ascii="FangSong_GB2312" w:hAnsi="FangSong_GB2312" w:eastAsia="FangSong_GB2312" w:cs="FangSong_GB2312"/>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kern w:val="2"/>
                <w:sz w:val="21"/>
                <w:szCs w:val="22"/>
                <w:lang w:val="en-US" w:eastAsia="zh-CN" w:bidi="ar-SA"/>
              </w:rPr>
            </w:pPr>
            <w:r>
              <w:rPr>
                <w:rFonts w:hint="eastAsia" w:ascii="FangSong_GB2312" w:hAnsi="FangSong_GB2312" w:eastAsia="FangSong_GB2312" w:cs="FangSong_GB2312"/>
                <w:kern w:val="2"/>
                <w:sz w:val="21"/>
                <w:szCs w:val="22"/>
                <w:lang w:val="en-US" w:eastAsia="zh-CN" w:bidi="ar-SA"/>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≥400辆</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kern w:val="2"/>
                <w:sz w:val="21"/>
                <w:szCs w:val="22"/>
                <w:lang w:val="en-US" w:eastAsia="zh-CN" w:bidi="ar-SA"/>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检测完成率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kern w:val="2"/>
                <w:sz w:val="21"/>
                <w:szCs w:val="22"/>
                <w:lang w:val="en-US" w:eastAsia="zh-CN" w:bidi="ar-SA"/>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完成非道路移动机械检测工作及时率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完成非道路移动机械检测工作及时率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kern w:val="2"/>
                <w:sz w:val="21"/>
                <w:szCs w:val="22"/>
                <w:lang w:val="en-US" w:eastAsia="zh-CN" w:bidi="ar-SA"/>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非道路移动机械检测单位成本</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≤625元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kern w:val="2"/>
                <w:sz w:val="21"/>
                <w:szCs w:val="22"/>
                <w:lang w:val="en-US" w:eastAsia="zh-CN" w:bidi="ar-SA"/>
              </w:rPr>
            </w:pPr>
            <w:r>
              <w:rPr>
                <w:rFonts w:hint="eastAsia" w:ascii="FangSong_GB2312" w:hAnsi="FangSong_GB2312" w:eastAsia="FangSong_GB2312" w:cs="FangSong_GB2312"/>
                <w:kern w:val="2"/>
                <w:sz w:val="21"/>
                <w:szCs w:val="22"/>
                <w:lang w:val="en-US" w:eastAsia="zh-CN" w:bidi="ar-SA"/>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经济效益指标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非道路移动机械检测资金有效利用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非道路移动机械检测资金有效利用</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有效利用</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加强非道路移动机械管理</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有效加强非道路移动机械管理工作</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降低我市非道路移动机械尾气污染</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降低我市非道路移动机械尾气污染</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服务对象满意人数占总服务对象人数的比率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spacing w:line="584" w:lineRule="exact"/>
        <w:ind w:firstLine="560" w:firstLineChars="200"/>
        <w:jc w:val="left"/>
        <w:outlineLvl w:val="1"/>
        <w:rPr>
          <w:rFonts w:hint="eastAsia" w:ascii="Times New Roman" w:hAnsi="Times New Roman" w:eastAsia="FangSong_GB2312" w:cs="Times New Roman"/>
          <w:sz w:val="28"/>
        </w:rPr>
      </w:pPr>
    </w:p>
    <w:p>
      <w:pPr>
        <w:spacing w:line="584" w:lineRule="exact"/>
        <w:ind w:firstLine="560" w:firstLineChars="200"/>
        <w:jc w:val="left"/>
        <w:outlineLvl w:val="1"/>
        <w:rPr>
          <w:rFonts w:hint="eastAsia" w:ascii="Times New Roman" w:hAnsi="Times New Roman" w:eastAsia="FangSong_GB2312" w:cs="Times New Roman"/>
          <w:sz w:val="28"/>
        </w:r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5</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非道路移动机械尾气检测服务工作绩效目标表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1.通过开展非道路移动机械进行尾气检测工作有效降低我市非道路移动机械尾气排放污染。</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017"/>
        <w:gridCol w:w="2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201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1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非道路移动机械检测数量</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≥400辆</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检测完成率</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完成非道路移动机械检测工作及时率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完成非道路移动机械检测工作及时率</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非道路移动机械检测单位成本</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≤587.5元</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经济效益指标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非道路移动机械检测资金有效利用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非道路移动机械检测资金有效利用</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有效利用</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加强非道路移动机械管理</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有效加强非道路移动机械管理工作</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降低我市非道路移动机械尾气污染</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降低我市非道路移动机械尾气污染</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服务对象满意人数占总服务对象人数的比率</w:t>
            </w:r>
          </w:p>
        </w:tc>
        <w:tc>
          <w:tcPr>
            <w:tcW w:w="201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1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headerReference r:id="rId3" w:type="default"/>
          <w:footerReference r:id="rId4" w:type="default"/>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6</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环保专项资金绩效目标表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1.主要用于劳务派遣人员工资福利等支出，保障办公正常运转。</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62"/>
        <w:gridCol w:w="2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6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7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保障人数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保障人数</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≤80人</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工资(福利)等发放精准性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工资福利等发放人员范围的精准性和发放数据的准确性</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社会保障缴纳的准确性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社会保障缴纳数据的准确性</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工资(福利)发放及时性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工资福利等发放的时效情况</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按规定时间发放</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社会保障缴纳的及时性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社会保障发放的时效情况</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按规定时间缴纳</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工资（福利）、社会保障等发放（缴纳）标准</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工资（福利）、社会保障等发放（缴纳）标准</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按规定执行</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加强工作人员归属感，保持劳务派遣人员队伍稳定</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通过按时按标准发放工资福利等，进一步增强职工得归属感，保持劳务派遣人员队伍相对稳定，保障办公正常运转</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保持劳务派遣人员队伍相对稳定</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劳务派遣人员满意度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劳务派遣人员对工资福利等发放工作的满意程度</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调查问卷</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7</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环境检测项目资金绩效目标表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1.通过委托三方开展超出能力范围或任务量大无法按时完成的VOC有机废气污染因子监测问题，为环境管理提供及时、完整、可靠的科学依据。</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7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5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w:t>
            </w:r>
            <w:r>
              <w:rPr>
                <w:rFonts w:hint="eastAsia" w:ascii="FangSong_GB2312" w:hAnsi="FangSong_GB2312" w:eastAsia="FangSong_GB2312" w:cs="FangSong_GB2312"/>
                <w:lang w:eastAsia="zh-CN"/>
              </w:rPr>
              <w:t>监</w:t>
            </w:r>
            <w:r>
              <w:rPr>
                <w:rFonts w:hint="eastAsia" w:ascii="FangSong_GB2312" w:hAnsi="FangSong_GB2312" w:eastAsia="FangSong_GB2312" w:cs="FangSong_GB2312"/>
              </w:rPr>
              <w:t>测服务数量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w:t>
            </w:r>
            <w:r>
              <w:rPr>
                <w:rFonts w:hint="eastAsia" w:ascii="FangSong_GB2312" w:hAnsi="FangSong_GB2312" w:eastAsia="FangSong_GB2312" w:cs="FangSong_GB2312"/>
                <w:lang w:eastAsia="zh-CN"/>
              </w:rPr>
              <w:t>监</w:t>
            </w:r>
            <w:r>
              <w:rPr>
                <w:rFonts w:hint="eastAsia" w:ascii="FangSong_GB2312" w:hAnsi="FangSong_GB2312" w:eastAsia="FangSong_GB2312" w:cs="FangSong_GB2312"/>
              </w:rPr>
              <w:t>测服务的数量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监测报告数据准确率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监测报告数据准确数占监测总数的比率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监测及时性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反映监测及时性情况</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及时</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≤25万元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为环境质量改善提供数据支持</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为环境质量改善提供数据支持</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提供支持</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《三河市臭氧污染防治攻坚行动方案》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环境执法监测能力有效提升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环境执法监测能力有效提升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《三河市臭氧污染防治攻坚行动方案》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受益对象满意度</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&gt;90%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8</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农村生活污水治理专项规划修订费用绩效目标表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1.全面解决农村生活污水治理问题，改善农村人居环境，提升农村居民生活质量。</w:t>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7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5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农村生活污水治理专项规划修订数量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农村生活污水治理专项规划修订数量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编制完成时间</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编制完成时间</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≤12月</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每套规划修订的成本</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≤23.9万元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提升农村居民生活质量情况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提升农村居民生活质量情况</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得到提升</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全面解决农村生活污水治理问题，改善农村人居环境</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全面解决农村生活污水治理问题，改善农村人居环境</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得到解决和改善</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修订农村生活污水治理专项规划的保障期限</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5年</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受益群体的满意度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调查中满意人数占总人数的比率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9</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三河市地表水质自动监测站运维服务费绩效目标表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1.通过项目的开展，对辖区内考核断面水质进行实时监测，及时掌握水质变化情况，为政府决策提供数据支撑。</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7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5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地表水站运维数量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实际地表水运维数量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2套</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水站设备运维验收合格率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验收合格数量占建站总数量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运维时间</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水质自动监测站运维时间</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12月</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水质自动监测站单位运维成本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水质自动监测站单位运维成本</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≤7.5万元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为水质改善提供监测数据</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为水质改善提供监测数据</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为达到水质考核目标提供技术支持</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为达到水质考核目标提供技术支持</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提供支持</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10</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三河市生态环境保护督察问题整改办工作业务费绩效目标表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1.通过项目的开展完成市督察整改办车辆租赁，实现市督察整改办正常工作运转，督导各类环保督察交办问题销号解决。</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7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5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租车数量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租车数量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1辆</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《车辆租赁合同》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车辆合格率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车辆合格率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《督察整改办工作业务费办公用品采购合同书》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租车及时率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租车及时率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租车单位成本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每辆车的租赁成本</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≤390元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《车辆租赁合同》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市督察整改办正常运转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市督察整改办正常运转率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《三河市贯彻落实第二轮省委省政府生态环境保护督察反馈意见整改方案》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环境问题解决情况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实施各类环保督察交办问题销号解决情况</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≥98%</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《三河市贯彻落实第二轮省委省政府生态环境保护督察反馈意见整改方案》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调查中满意和较满意的人数占调查总人数的比率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≥98%</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11</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三河市土壤环境保护方案编制费用尾款绩效目标表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1.通过项目的开展对全市现有土地现状进行实地踏勘、确定采样点位并进行样品采集及检测，摸清全市土壤环境现状。</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76"/>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7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5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方案编制的数量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方案编制的数量</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1本</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方案专家评审通过率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方案专家评审通过率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方案编制完成及时性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方案编制完成及时性</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≤17.74万元</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生态环境土壤质量得到提升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生态环境土壤质量得到提升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得到提升</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提升土壤环境质量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全市土壤环境得到明显提升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得到提升</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《三河市土壤环境保护方案政府采购服务合同书》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调查中满意人数占总人数的比率</w:t>
            </w:r>
          </w:p>
        </w:tc>
        <w:tc>
          <w:tcPr>
            <w:tcW w:w="197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5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12</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生态环境保护十四五规划编制费绩效目标表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1.通过项目的开展，2022年，全力提升污染防治技术水平，改善环境质量，为我市生态建设作出更大贡献。</w:t>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62"/>
        <w:gridCol w:w="2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6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7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编制成果数量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编制成果数量</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规划文件合格率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规划文件合格率</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项目按时完成率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项目按时完成率</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11.7万元</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为人民提供良好的环境</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为人民提供良好的环境</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提供良好生活环境</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环境质量提升情况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环境质量提升情况</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有所提升</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调查中满意和较满意的人数占调查总人数的比率</w:t>
            </w:r>
          </w:p>
        </w:tc>
        <w:tc>
          <w:tcPr>
            <w:tcW w:w="196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≥92%</w:t>
            </w:r>
          </w:p>
        </w:tc>
        <w:tc>
          <w:tcPr>
            <w:tcW w:w="297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13</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生态环境督察工作业务保障经费绩效目标表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1.做好经费保障工作，保障部、省、市级领导来我市生态环境督导执法检查工作。</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49"/>
        <w:gridCol w:w="2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49"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83"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督察工作业务保障数量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督察工作业务保障数量</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业务保障率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业务保障率</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经费保障及时性</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经费保障及时性</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督察工作业务保障单位成本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督察工作业务保障单位成本</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≤13万元</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保障日常督察工作业务</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保障日常督察工作业务</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得到保障</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调查中满意和较满意的人数占调查总人数的比率</w:t>
            </w:r>
          </w:p>
        </w:tc>
        <w:tc>
          <w:tcPr>
            <w:tcW w:w="1949"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≥92%</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14</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生态环境年度全额保障经费绩效目标表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90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1.主要用于劳务派遣人员工资福利等支出，保障办公正常运转。</w:t>
            </w:r>
          </w:p>
          <w:p>
            <w:pPr>
              <w:pStyle w:val="18"/>
              <w:rPr>
                <w:rFonts w:hint="eastAsia" w:ascii="FangSong_GB2312" w:hAnsi="FangSong_GB2312" w:eastAsia="FangSong_GB2312" w:cs="FangSong_GB2312"/>
              </w:rPr>
            </w:pPr>
            <w:r>
              <w:rPr>
                <w:rFonts w:hint="eastAsia" w:ascii="FangSong_GB2312" w:hAnsi="FangSong_GB2312" w:eastAsia="FangSong_GB2312" w:cs="FangSong_GB2312"/>
              </w:rPr>
              <w:t xml:space="preserve">2.通过项目的开展，保证人员出勤率，实际解决生态环境投诉多的问题。     </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536"/>
        <w:gridCol w:w="3396"/>
        <w:gridCol w:w="2973"/>
        <w:gridCol w:w="1442"/>
        <w:gridCol w:w="2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153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339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973"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44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83"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4"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保障人数</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保障人数</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≥79人</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3"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选派人员数量</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选派人员数量</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1人</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《关于协调安排工作人员到部信访办工作借调学习锻炼的函》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4"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工资(福利)等发放精准性</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工资福利等发放人员范围的精准性和发放数据的准确性</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8"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社会保障缴纳的准确性</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社会保障缴纳数据的准确性</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选派人员出勤率</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选派人员出勤率</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《关于协调安排工作人员到部信访办工作借调学习锻炼的函》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8"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工资(福利)发放及时性</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工资福利等发放的时效情况</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按规定时间发放</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9"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社会保障缴纳的及时性</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社会保障发放的时效情况</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按规定时间缴纳</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工资（福利）、社会保障等发放（缴纳）标准</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工资（福利）、社会保障等发放（缴纳）标准</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按规定执行</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加强工作人员归属感，保持劳务派遣人员队伍稳定</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通过按时按标准发放工资福利等，进一步增强职工得归属感，保持劳务派遣人员队伍相对稳定，保障办公正常运转</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保持劳务派遣人员队伍相对稳定</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2"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153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339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劳务派遣人员满意度</w:t>
            </w:r>
          </w:p>
        </w:tc>
        <w:tc>
          <w:tcPr>
            <w:tcW w:w="297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劳务派遣人员对工资福利等发放工作的满意程度</w:t>
            </w:r>
          </w:p>
        </w:tc>
        <w:tc>
          <w:tcPr>
            <w:tcW w:w="14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83"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调查问卷</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280" w:firstLineChars="1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15</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网络与信息系统安全改造提升服务费绩效目标表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54"/>
        <w:gridCol w:w="1234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54"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44"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1.通过购买安全设备授权升级，确保信息系统正常运转。</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42"/>
        <w:gridCol w:w="2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4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99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网络信息舆情监控服务持续天数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网络信息舆情监控服务持续天数</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365天</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系统验收合格的模块占总模块的比率</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业务处理及时率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业务处理及时率</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≤411元/天</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服务保障年限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服务保障正常使用的期限</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1年</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公共主页点击量增长率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公共主页点击量同期增长的比率</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≥20%</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调查中服务对象满意的数量占总数量的比率</w:t>
            </w:r>
          </w:p>
        </w:tc>
        <w:tc>
          <w:tcPr>
            <w:tcW w:w="194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299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16</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畜禽养殖污染防治专项规划编制费绩效目标表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1.加强对畜禽养殖污染防治的环境管理， 促进全市畜禽养殖业稳定、 健康、 持续、 绿色发展。</w:t>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27"/>
        <w:gridCol w:w="3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2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0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完成规划数量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完成畜禽养殖污染防治专项规划数量</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《畜禽规模养殖污染防治条例》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编制完成时间</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编制完成时间</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≤12月</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每套规划的成本</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≤24.8万元</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对全市畜禽养殖业的环境监管能力有效提升</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为“十四五”畜禽养殖污染防治的提供政策依据的保障期限</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5年</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《畜禽规模养殖污染防治条例》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调查中满意人数占总人数的比率</w:t>
            </w:r>
          </w:p>
        </w:tc>
        <w:tc>
          <w:tcPr>
            <w:tcW w:w="192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0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17</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重型柴油车尾气检测服务费绩效目标表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1.通过对重型柴油车污染排放专项管控有效降低我市机动车污染。</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尾气检测服务数量</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项目完成及时率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项目完成及时率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尾气检测服务单位成本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≤30万元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经济效益指标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重型柴油车尾气检测能力建设资金有效利用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重型柴油车尾气检测能力建设资金有效利用</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有效利用</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加强重型柴油车管理</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有效加强重型柴油车管理工作</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降低我市机动车污染</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降低我市机动车污染</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服务对象满意人数占总服务对象人数的比率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18</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重型柴油车尾气检测能力建设绩效目标表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1.通过对重型柴油车污染排放专项管控有效降低我市机动车污染。</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重型柴油车检测设备的数量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重型柴油车检测设备的数量</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3套</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重型柴油车检测配套车辆的数量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重型柴油车检测配套车辆的数量</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3辆</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尾气检测服务数量</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项目完成及时率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项目完成及时率</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重型柴油车检测设备的单位成本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重型柴油车检测设备的单位成本</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≤5.6万元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重型柴油车检测配套车辆的单位成本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重型柴油车检测配套车辆的单位成本</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≤6.4万元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尾气检测服务单位成本</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≤24万元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经济效益指标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重型柴油车尾气检测能力建设资金有效利用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重型柴油车尾气检测能力建设资金有效利用</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有效利用</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加强重型柴油车管理</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有效加强重型柴油车管理工作</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有效加强</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sz w:val="18"/>
                <w:szCs w:val="18"/>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降低我市机动车污染</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降低我市机动车污染</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降低</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服务对象满意人数占总服务对象人数的比率</w:t>
            </w:r>
          </w:p>
        </w:tc>
        <w:tc>
          <w:tcPr>
            <w:tcW w:w="1912" w:type="dxa"/>
            <w:vAlign w:val="center"/>
          </w:tcPr>
          <w:p>
            <w:pPr>
              <w:pStyle w:val="18"/>
              <w:jc w:val="center"/>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19</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餐饮油烟监控系统设备购置项目绩效目标表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1.在全市重点餐饮企业选取300个监控点位，安装油烟在线监控设备，与生态环境部门联网，实现对餐饮油烟污染物排放的远程执法</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82"/>
        <w:gridCol w:w="3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8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5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实际建设餐饮油烟监测微站个数</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＝20个</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验收合格数与设备总数的比值</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每套软件的成本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≤8万元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每个监测微站建设成本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≤1万元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≥70%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≥600天</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中共三河市委办公室、三河市人民政府办公室印发《关于深入推进三河市与北京城市副中心（通州区）一体化高质量发展的实施意见》的通知（机密【2021】35）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20</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大气污染综合治理项目绩效目标表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仿宋_GB2312" w:hAnsi="仿宋_GB2312" w:eastAsia="仿宋_GB2312" w:cs="仿宋_GB2312"/>
              </w:rPr>
              <w:t>1.通过开展涉气工业企业污染排查整治、机动车检测机构、用车大户规范性排查、加油站油气污染防治、臭氧</w:t>
            </w:r>
            <w:r>
              <w:rPr>
                <w:rFonts w:hint="eastAsia" w:ascii="仿宋_GB2312" w:hAnsi="仿宋_GB2312" w:eastAsia="仿宋_GB2312" w:cs="仿宋_GB2312"/>
                <w:lang w:eastAsia="zh-CN"/>
              </w:rPr>
              <w:t>前体</w:t>
            </w:r>
            <w:r>
              <w:rPr>
                <w:rFonts w:hint="eastAsia" w:ascii="仿宋_GB2312" w:hAnsi="仿宋_GB2312" w:eastAsia="仿宋_GB2312" w:cs="仿宋_GB2312"/>
              </w:rPr>
              <w:t>物质溯源与臭氧污染协同管控，有效改善我市大气环境质量。</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82"/>
        <w:gridCol w:w="3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8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5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大气环境综合治理项目服务的数量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大气环境综合治理项目服务的数量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大气环境综合治理项目验收合格率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我市各项大气污染综合治理工作按时完成率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我市各项大气污染综合治理工作按时完成率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成本控制</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成本控制</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≤2.86万元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经济效益指标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大气污染防治资金有效利用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大气污染防治资金有效利用</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有效利用</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对我市重点用车大户进行技术指导</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对我市重点用车大户进行技术指导</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得到指导</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提高我市大气环境质量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有效提高我市大气环境质量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得到提高</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调查中服务对象满意人数占总服务对象人数的比率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21</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大气污染综合治理项目资金绩效目标表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1.通过开展涉气工业企业污染排查整治、机动车检测机构、用车大户规范性排查、加油站油气污染防治、臭氧</w:t>
            </w:r>
            <w:r>
              <w:rPr>
                <w:rFonts w:hint="eastAsia" w:ascii="仿宋_GB2312" w:hAnsi="仿宋_GB2312" w:eastAsia="仿宋_GB2312" w:cs="仿宋_GB2312"/>
              </w:rPr>
              <w:t>前</w:t>
            </w:r>
            <w:r>
              <w:rPr>
                <w:rFonts w:hint="eastAsia" w:ascii="仿宋_GB2312" w:hAnsi="仿宋_GB2312" w:eastAsia="仿宋_GB2312" w:cs="仿宋_GB2312"/>
                <w:lang w:eastAsia="zh-CN"/>
              </w:rPr>
              <w:t>体</w:t>
            </w:r>
            <w:r>
              <w:rPr>
                <w:rFonts w:hint="eastAsia" w:ascii="仿宋_GB2312" w:hAnsi="仿宋_GB2312" w:eastAsia="仿宋_GB2312" w:cs="仿宋_GB2312"/>
              </w:rPr>
              <w:t>物质溯源与臭氧污染协同管控，有效改善我市大气环境质量。</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82"/>
        <w:gridCol w:w="3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8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5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排查涉气工业企业数量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排查涉气工业企业数量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≥450家/次</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检测机动车尾气数量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检测机动车尾气数量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≥500辆/次</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加油站检测点位数量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加油站检测点位数量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≥240点位</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编制《臭氧</w:t>
            </w:r>
            <w:r>
              <w:rPr>
                <w:rFonts w:hint="eastAsia" w:ascii="仿宋_GB2312" w:hAnsi="仿宋_GB2312" w:eastAsia="仿宋_GB2312" w:cs="仿宋_GB2312"/>
              </w:rPr>
              <w:t>前体</w:t>
            </w:r>
            <w:r>
              <w:rPr>
                <w:rFonts w:hint="eastAsia" w:ascii="FangSong_GB2312" w:hAnsi="FangSong_GB2312" w:eastAsia="FangSong_GB2312" w:cs="FangSong_GB2312"/>
              </w:rPr>
              <w:t>物质溯源及臭氧协同管控分析报告》</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编制《臭氧</w:t>
            </w:r>
            <w:r>
              <w:rPr>
                <w:rFonts w:hint="eastAsia" w:ascii="仿宋_GB2312" w:hAnsi="仿宋_GB2312" w:eastAsia="仿宋_GB2312" w:cs="仿宋_GB2312"/>
              </w:rPr>
              <w:t>前体</w:t>
            </w:r>
            <w:r>
              <w:rPr>
                <w:rFonts w:hint="eastAsia" w:ascii="FangSong_GB2312" w:hAnsi="FangSong_GB2312" w:eastAsia="FangSong_GB2312" w:cs="FangSong_GB2312"/>
              </w:rPr>
              <w:t>物质溯源及臭氧协同管控分析报告》</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大气环境综合治理项目验收合格率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我市各项大气污染综合治理工作按时完成率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我市各项大气污染综合治理工作按时完成率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排查涉气工业企业单位成本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排查每家涉气工业企业成本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≤956元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检测机动车尾气单位成本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检测每辆机动车尾气成本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≤672元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加油站检测点位单位成本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每个加油站检测点位成本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≤513元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编制《分析报告》单位成本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编制每套《分析报告》成本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≤11.1万元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对我市重点用车大户进行技术指导</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对我市重点用车大户进行技术指导</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得到指导</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提高我市大气环境质量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有效提高我市大气环境质量</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得到提高</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调查中服务对象满意人数占总服务对象人数的比率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22</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环保违法企业拆除项目绩效目标表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1.通过项目的开展，全力提升污染防治技术水平，改善环境质量，为我市生态建设作出更大贡献。</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82"/>
        <w:gridCol w:w="3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8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5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30家</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≤0.8万元</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得到改善</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有所改善</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受益群众满意度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调查中受益群众满意人数占总人数的比率</w:t>
            </w:r>
          </w:p>
        </w:tc>
        <w:tc>
          <w:tcPr>
            <w:tcW w:w="188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305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调查问卷</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23</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环保违法企业拆除项目绩效目标表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1.通过项目的开展，全力提升污染防治技术水平，改善环境质量，为我市生态建设作出更大贡献。</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30家</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0.7万元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得到改善</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有所改善</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受益群众满意度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调查中受益群众满意人数占总人数的比率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调查问卷</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24</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环保违法企业拆除项目绩效目标表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1.通过项目的开展，全力提升污染防治技术水平，改善环境质量，为我市生态建设作出更大贡献。</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拆除企业家数</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30家</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拆除验收合格率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项目按期完成率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0.31万元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环境质量得到改善</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得到改善</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有利于当地生态环境的改善</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有所改善</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受益群众满意度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调查中受益群众满意人数占总人数的比率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调查问卷</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25</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环京津空气自动站运维项目绩效目标表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1.通过项目的开展完成空气自动站设备运维并报送监测数据，空气质量管控能力有效提升，保障我市空气质量得到明显改善。</w:t>
            </w:r>
            <w:r>
              <w:rPr>
                <w:rFonts w:hint="eastAsia" w:ascii="FangSong_GB2312" w:hAnsi="FangSong_GB2312" w:eastAsia="FangSong_GB2312" w:cs="FangSong_GB2312"/>
              </w:rPr>
              <w:tab/>
            </w:r>
            <w:r>
              <w:rPr>
                <w:rFonts w:hint="eastAsia" w:ascii="FangSong_GB2312" w:hAnsi="FangSong_GB2312" w:eastAsia="FangSong_GB2312" w:cs="FangSong_GB2312"/>
              </w:rPr>
              <w:tab/>
            </w:r>
            <w:r>
              <w:rPr>
                <w:rFonts w:hint="eastAsia" w:ascii="FangSong_GB2312" w:hAnsi="FangSong_GB2312" w:eastAsia="FangSong_GB2312" w:cs="FangSong_GB2312"/>
              </w:rPr>
              <w:tab/>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自动站运行数量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实际运行站点数量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5个</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自动站设备校准率（%）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实际设备校准数占应校准设备数的比率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自动站运维及时有效</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自动站运维及时有效性</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合同尾款</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2.63万元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空气质量得到明显改善</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空气质量得到明显改善</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得到改善</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自动站运维保障期限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自动站运维保障期限</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1年</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空气质量管控能力有效提升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空气质量管控能力有效提升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受益对象满意度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调查中受益对象满意人数占总人数的比率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26</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燃煤锅炉淘汰奖补项目绩效目标表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1.目标内容1通过我市出台的《三河市燃煤锅炉淘汰工作安排方案》，对我市淘汰燃煤锅炉的企业进行奖补，减少燃煤对大气环境的污染，持续改善环境质量</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淘汰燃煤锅炉企业数量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淘汰燃煤锅炉企业数量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≤300家</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验收合格的占总数量的比率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项目按时完成率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项目按时完成率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每蒸吨补贴成本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每蒸吨补贴成本</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≤20万元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提高居民居住舒适度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提高居民居住舒适度</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提升</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污染物排放降低</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污染物排放总量同期下降</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降低</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企业满意度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调查中满意和较满意的企业数占全部调查企业数的比率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27</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三河市VOCs空气质量管控系统建设资金绩效目标表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1.通过项目的开展实现臭氧</w:t>
            </w:r>
            <w:r>
              <w:rPr>
                <w:rFonts w:hint="eastAsia" w:ascii="仿宋_GB2312" w:hAnsi="仿宋_GB2312" w:eastAsia="仿宋_GB2312" w:cs="仿宋_GB2312"/>
              </w:rPr>
              <w:t>前</w:t>
            </w:r>
            <w:r>
              <w:rPr>
                <w:rFonts w:hint="eastAsia" w:ascii="仿宋_GB2312" w:hAnsi="仿宋_GB2312" w:eastAsia="仿宋_GB2312" w:cs="仿宋_GB2312"/>
                <w:lang w:eastAsia="zh-CN"/>
              </w:rPr>
              <w:t>体</w:t>
            </w:r>
            <w:r>
              <w:rPr>
                <w:rFonts w:hint="eastAsia" w:ascii="FangSong_GB2312" w:hAnsi="FangSong_GB2312" w:eastAsia="FangSong_GB2312" w:cs="FangSong_GB2312"/>
              </w:rPr>
              <w:t>物排放的监测，对臭氧</w:t>
            </w:r>
            <w:r>
              <w:rPr>
                <w:rFonts w:hint="eastAsia" w:ascii="仿宋_GB2312" w:hAnsi="仿宋_GB2312" w:eastAsia="仿宋_GB2312" w:cs="仿宋_GB2312"/>
              </w:rPr>
              <w:t>前</w:t>
            </w:r>
            <w:r>
              <w:rPr>
                <w:rFonts w:hint="eastAsia" w:ascii="仿宋_GB2312" w:hAnsi="仿宋_GB2312" w:eastAsia="仿宋_GB2312" w:cs="仿宋_GB2312"/>
                <w:lang w:eastAsia="zh-CN"/>
              </w:rPr>
              <w:t>体</w:t>
            </w:r>
            <w:r>
              <w:rPr>
                <w:rFonts w:hint="eastAsia" w:ascii="FangSong_GB2312" w:hAnsi="FangSong_GB2312" w:eastAsia="FangSong_GB2312" w:cs="FangSong_GB2312"/>
              </w:rPr>
              <w:t>物排放重点区域进行精准朔源。</w:t>
            </w:r>
          </w:p>
          <w:p>
            <w:pPr>
              <w:pStyle w:val="18"/>
              <w:rPr>
                <w:rFonts w:hint="eastAsia" w:ascii="FangSong_GB2312" w:hAnsi="FangSong_GB2312" w:eastAsia="FangSong_GB2312" w:cs="FangSong_GB2312"/>
              </w:rPr>
            </w:pPr>
            <w:r>
              <w:rPr>
                <w:rFonts w:hint="eastAsia" w:ascii="FangSong_GB2312" w:hAnsi="FangSong_GB2312" w:eastAsia="FangSong_GB2312" w:cs="FangSong_GB2312"/>
              </w:rPr>
              <w:t>2.通过建设30个VOCs微站监测点位，数据联网传输至管控系统，对臭氧</w:t>
            </w:r>
            <w:r>
              <w:rPr>
                <w:rFonts w:hint="eastAsia" w:ascii="仿宋_GB2312" w:hAnsi="仿宋_GB2312" w:eastAsia="仿宋_GB2312" w:cs="仿宋_GB2312"/>
              </w:rPr>
              <w:t>前</w:t>
            </w:r>
            <w:r>
              <w:rPr>
                <w:rFonts w:hint="eastAsia" w:ascii="仿宋_GB2312" w:hAnsi="仿宋_GB2312" w:eastAsia="仿宋_GB2312" w:cs="仿宋_GB2312"/>
                <w:lang w:eastAsia="zh-CN"/>
              </w:rPr>
              <w:t>体</w:t>
            </w:r>
            <w:r>
              <w:rPr>
                <w:rFonts w:hint="eastAsia" w:ascii="FangSong_GB2312" w:hAnsi="FangSong_GB2312" w:eastAsia="FangSong_GB2312" w:cs="FangSong_GB2312"/>
              </w:rPr>
              <w:t>物排放的企业进行精准朔源，规范企业排污行为，实现空气环境质量稳步提升。</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VOCs微站监测点位数量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VOCs微站监测点位数量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16个</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检测数据准确率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设备检测数据准确率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工作完成及时率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工作完成及时率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保障突发环境应急事件处置</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保障突发环境应急事件处置</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空气环境质量稳步提升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通过臭氧前体物检测，有效规范企业排放行为，减少污染物排放，使空气质量稳步提升。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稳步提升</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客户满意度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调查中客户满意人数占总人数的比率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≥90 %</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28</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三河市地表水质自动监测站基础工程建设项目绩效目标表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1.通过项目的开展，在夏口闸和后丞相桥建设水质自动监测站，对辖区内河流断面水质进行实时监测，及时掌握水质变化情况，为政府决策提供数据支撑。</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地表水站建设数量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实际地表水建设数量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2套</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水站设备验收合格率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验收合格数量占建站总数量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采购设备到位时间</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采购设备到位时间</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≤10月</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2.6万元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为水质改善提供数据支持</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为水质改善提供数据支持</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提供支持</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设备使用年限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设备可使用年限</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≥6年</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29</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三河市地表水质自动监测站设备购置项目绩效目标表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1.通过项目的开展，在后丞相桥和夏口闸建设水质自动站，对辖区内河流考核断面水质进行实时监测，及时掌握水质变化情况，为政府决策提供数据支撑。</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地表水站建设数量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实际地表水建设数量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2套</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水站设备验收合格率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验收合格数量占建站总数量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采购设备到位时间</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采购设备到位时间</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≤10月</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2.81万元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为水质改善提供数据支持</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为水质改善提供数据支持</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提供支持</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设备使用年限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设备可使用年限</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≥6年</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30</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三河市空气质量管控系统设备购置项目绩效目标表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在我市东、西市区、重点镇选取40个点位，建设空气质量监测微站。对大气污染物：VOCs、PM2.5、PM10、臭氧、氮氧化物、一氧化碳、二氧化硫等进行浓度检测。加强我市与通州区重污染天气预警、研判、会商、探索建立区域统一的联防联控应急响应机制。</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97"/>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897"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35"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实际建设空气监测微站个数</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＝10个</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验收合格数与设备总数的比值</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每个监测微站建设成本</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≤4.6万元</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≥70%</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≥600天</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中共三河市委办公室、三河市人民政府办公室印发《关于深入推进三河市与北京城市副中心（通州区）一体化高质量发展的实施意见》的通知（机密【2021】35）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1897"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35"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31</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三河市空气质量管控系统设备购置项目绩效目标表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在我市东、西市区、重点镇选取40个点位，建设空气质量监测微站。对大气污染物：VOCs、PM2.5、PM10、臭氧、氮氧化物、一氧化碳、二氧化硫等进行浓度检测。加强我市与通州区重污染天气预警、研判、会商、探索建立区域统一的联防联控应急响应机制。</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实际建设空气监测微站个数</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＝27个</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购置软件数量</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1套</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验收合格数与设备总数的比值</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系统建设按期完成率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购置软件单位成本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每套软件的成本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≤5.22万元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监测微站建设单位成本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每个监测微站建设成本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≤0.1万元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监管能力有效提升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有效提升</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空气质量优良率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≥70%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项目持续发挥作用期限</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≥600天</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中共三河市委办公室、三河市人民政府办公室印发《关于深入推进三河市与北京城市副中心（通州区）一体化高质量发展的实施意见》的通知（机密【2021】35）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使用者满意度</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32</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三河市流域水生态环境保护“十四五”规划编制项目绩效目标表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1.通过项目的开展，编制完成《三河市流域水生态环境保护“十四五”规划》，落实政府生态环境</w:t>
            </w:r>
            <w:r>
              <w:rPr>
                <w:rFonts w:hint="eastAsia" w:ascii="仿宋_GB2312" w:hAnsi="仿宋_GB2312" w:eastAsia="仿宋_GB2312" w:cs="仿宋_GB2312"/>
              </w:rPr>
              <w:t>主</w:t>
            </w:r>
            <w:r>
              <w:rPr>
                <w:rFonts w:hint="eastAsia" w:ascii="仿宋_GB2312" w:hAnsi="仿宋_GB2312" w:eastAsia="仿宋_GB2312" w:cs="仿宋_GB2312"/>
                <w:lang w:eastAsia="zh-CN"/>
              </w:rPr>
              <w:t>体</w:t>
            </w:r>
            <w:r>
              <w:rPr>
                <w:rFonts w:hint="eastAsia" w:ascii="FangSong_GB2312" w:hAnsi="FangSong_GB2312" w:eastAsia="FangSong_GB2312" w:cs="FangSong_GB2312"/>
              </w:rPr>
              <w:t>责任，推进“十四五”水生态环境保护工作。</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规划编制数量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规划编制数量</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《水污染防治法》第十六条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编制规划合格率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编制规划合格率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规划编制按期完成率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规划编制按期完成率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项目尾款</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≤3.28万元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提高人居环境</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提高人居环境</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逐步提高</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考核断面水质有效保障</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考核断面水质有效保障</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有效保障</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十四五规划保障期限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十四五规划保障期限</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5年</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调查中服务对象满意人数占总人数的比率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33</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三河市水环境监测预警与评估分析项目绩效目标表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1.通过项目的开展实现对各类水质超标情况进行及时预警和分析，改善全市水环境质量。</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水环境监测预警与评估分析技术服务数量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水环境监测预警与评估分析技术服务数量</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1项</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工作完成及时率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工作完成及时率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≤2.87万元</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保障公众健康和安全</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通过专业的水环境监测预警与评估分析技术指导，改善水环境质量，保障公众健康和安全。</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得到保障</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改善全市水环境质量</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通过专家团队的指导服务，实施科学可行的方案</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得到改善</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服务对象对水环境监测预警与评估分析项目技术咨询服务满意程度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调查中满意人数占总人数比率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34</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网络信息舆情监控服务绩效目标表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1.通过项目的开展完成三河市环境保护网络信息全面监控，实现网络舆情无遗漏，公共主页点击量得到增长。</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网络信息舆情监控服务持续天数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网络信息舆情监控服务持续天数</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365天</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系统验收合格的模块占总模块的比率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业务处理及时率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业务处理及时率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项目单位成本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≤22.73元/天</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可持续影响指标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服务保障年限</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服务保障正常使用的期限</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3年</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公共主页点击量增长率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公共主页点击量同期增长的比率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≥20%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调查中服务对象满意的数量占总数量的比率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≥95%</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35</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在全市范围内开展重点工业企业治污设施与生产设施分表记电电力改造工程的资金绩效目标表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1.在全市重点工业企业实施生产设施与治污设施分表记电，掌握企业错峰管控期间生产情况和治污设施运行情况，为远程执法提供数据支撑。</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12"/>
        <w:gridCol w:w="3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1912"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3020"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软件运维的天数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软件运维的天数</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365天</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100 %</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故障维护及时率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故障维护及时率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100 %</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软件运维单位成本</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≤165.7元/天</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项目实现功能</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项目实现生产设施与治污设施分表记电功能</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能够实现</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显示治污设施运行情况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显示治污设施运行情况</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能够显示</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客户满意度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调查客户满意人数占总人数的比率</w:t>
            </w:r>
          </w:p>
        </w:tc>
        <w:tc>
          <w:tcPr>
            <w:tcW w:w="1912"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3020"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rPr>
          <w:rFonts w:hint="eastAsia" w:ascii="FangSong_GB2312" w:hAnsi="FangSong_GB2312" w:eastAsia="FangSong_GB2312" w:cs="FangSong_GB2312"/>
        </w:rPr>
        <w:sectPr>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hint="eastAsia" w:ascii="Times New Roman" w:hAnsi="Times New Roman" w:eastAsia="FangSong_GB2312" w:cs="Times New Roman"/>
          <w:sz w:val="28"/>
        </w:rPr>
      </w:pPr>
      <w:r>
        <w:rPr>
          <w:rFonts w:hint="eastAsia" w:ascii="Times New Roman" w:hAnsi="Times New Roman" w:eastAsia="FangSong_GB2312" w:cs="Times New Roman"/>
          <w:sz w:val="28"/>
        </w:rPr>
        <w:t>36</w:t>
      </w:r>
      <w:r>
        <w:rPr>
          <w:rFonts w:hint="eastAsia" w:ascii="Times New Roman" w:hAnsi="Times New Roman" w:eastAsia="FangSong_GB2312" w:cs="Times New Roman"/>
          <w:sz w:val="28"/>
          <w:lang w:eastAsia="zh-CN"/>
        </w:rPr>
        <w:t>.</w:t>
      </w:r>
      <w:r>
        <w:rPr>
          <w:rFonts w:hint="eastAsia" w:ascii="Times New Roman" w:hAnsi="Times New Roman" w:eastAsia="FangSong_GB2312" w:cs="Times New Roman"/>
          <w:sz w:val="28"/>
        </w:rPr>
        <w:t>重点工业企业治污设施与生产设施分表记电系统运行维护项目绩效目标表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7"/>
        <w:gridCol w:w="12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bottom w:val="single" w:color="FFFFFF" w:sz="6" w:space="0"/>
            </w:tcBorders>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绩效目标</w:t>
            </w:r>
          </w:p>
        </w:tc>
        <w:tc>
          <w:tcPr>
            <w:tcW w:w="12331" w:type="dxa"/>
            <w:tcBorders>
              <w:bottom w:val="single" w:color="FFFFFF" w:sz="6" w:space="0"/>
            </w:tcBorders>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1.在全市重点工业企业实施生产设施与治污设施分表记电，掌握企业生产和治污设施运行状态，为错峰管控提供数据支撑</w:t>
            </w:r>
          </w:p>
        </w:tc>
      </w:tr>
    </w:tbl>
    <w:p>
      <w:pPr>
        <w:spacing w:before="0" w:after="0" w:line="2" w:lineRule="exact"/>
        <w:ind w:firstLine="0"/>
        <w:jc w:val="center"/>
        <w:outlineLvl w:val="9"/>
        <w:rPr>
          <w:rFonts w:hint="eastAsia" w:ascii="FangSong_GB2312" w:hAnsi="FangSong_GB2312" w:eastAsia="FangSong_GB2312" w:cs="FangSong_GB2312"/>
        </w:rPr>
      </w:pPr>
      <w:r>
        <w:rPr>
          <w:rFonts w:hint="eastAsia" w:ascii="FangSong_GB2312" w:hAnsi="FangSong_GB2312" w:eastAsia="FangSong_GB2312" w:cs="FangSong_GB2312"/>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一级指标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二级指标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三级指标</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绩效指标描述</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w:t>
            </w:r>
          </w:p>
        </w:tc>
        <w:tc>
          <w:tcPr>
            <w:tcW w:w="2466" w:type="dxa"/>
            <w:vAlign w:val="center"/>
          </w:tcPr>
          <w:p>
            <w:pPr>
              <w:pStyle w:val="16"/>
              <w:rPr>
                <w:rFonts w:hint="eastAsia" w:ascii="FangSong_GB2312" w:hAnsi="FangSong_GB2312" w:eastAsia="FangSong_GB2312" w:cs="FangSong_GB2312"/>
              </w:rPr>
            </w:pPr>
            <w:r>
              <w:rPr>
                <w:rFonts w:hint="eastAsia" w:ascii="FangSong_GB2312" w:hAnsi="FangSong_GB2312" w:eastAsia="FangSong_GB2312" w:cs="FangSong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产出指标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数量指标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软件运维的天数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软件运维的天数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365天</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质量指标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验收合格率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100 %</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时效指标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故障维护及时率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故障维护及时率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100 %</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成本指标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软件运维单位成本</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≤1315元/天</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社会效益指标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项目实现功能</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项目实现生产设施与治污设施分表记电功能</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能够实现</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FangSong_GB2312" w:hAnsi="FangSong_GB2312" w:eastAsia="FangSong_GB2312" w:cs="FangSong_GB2312"/>
              </w:rPr>
            </w:pP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生态效益指标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显示治污设施运行情况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显示治污设施运行情况</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能够显示</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FangSong_GB2312" w:hAnsi="FangSong_GB2312" w:eastAsia="FangSong_GB2312" w:cs="FangSong_GB2312"/>
              </w:rPr>
            </w:pPr>
            <w:r>
              <w:rPr>
                <w:rFonts w:hint="eastAsia" w:ascii="FangSong_GB2312" w:hAnsi="FangSong_GB2312" w:eastAsia="FangSong_GB2312" w:cs="FangSong_GB2312"/>
              </w:rPr>
              <w:t>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服务对象满意度指标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客户满意度</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调查客户满意人数占总人数的比率</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≥90%</w:t>
            </w:r>
          </w:p>
        </w:tc>
        <w:tc>
          <w:tcPr>
            <w:tcW w:w="2466" w:type="dxa"/>
            <w:vAlign w:val="center"/>
          </w:tcPr>
          <w:p>
            <w:pPr>
              <w:pStyle w:val="18"/>
              <w:rPr>
                <w:rFonts w:hint="eastAsia" w:ascii="FangSong_GB2312" w:hAnsi="FangSong_GB2312" w:eastAsia="FangSong_GB2312" w:cs="FangSong_GB2312"/>
              </w:rPr>
            </w:pPr>
            <w:r>
              <w:rPr>
                <w:rFonts w:hint="eastAsia" w:ascii="FangSong_GB2312" w:hAnsi="FangSong_GB2312" w:eastAsia="FangSong_GB2312" w:cs="FangSong_GB2312"/>
              </w:rPr>
              <w:t>问卷调查</w:t>
            </w:r>
          </w:p>
        </w:tc>
      </w:tr>
    </w:tbl>
    <w:p>
      <w:pPr>
        <w:autoSpaceDE w:val="0"/>
        <w:autoSpaceDN w:val="0"/>
        <w:adjustRightInd w:val="0"/>
        <w:spacing w:line="584" w:lineRule="exact"/>
        <w:ind w:firstLine="880" w:firstLineChars="200"/>
        <w:jc w:val="left"/>
        <w:rPr>
          <w:rFonts w:hint="eastAsia"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FangSong_GB2312" w:cs="Times New Roman"/>
          <w:sz w:val="32"/>
          <w:szCs w:val="24"/>
        </w:rPr>
      </w:pPr>
      <w:bookmarkStart w:id="0" w:name="_Toc471398468"/>
      <w:r>
        <w:rPr>
          <w:rFonts w:ascii="Times New Roman" w:hAnsi="Times New Roman" w:eastAsia="FangSong_GB2312" w:cs="Times New Roman"/>
          <w:sz w:val="32"/>
          <w:szCs w:val="24"/>
        </w:rPr>
        <w:t>20</w:t>
      </w:r>
      <w:r>
        <w:rPr>
          <w:rFonts w:hint="eastAsia" w:ascii="Times New Roman" w:hAnsi="Times New Roman" w:eastAsia="FangSong_GB2312" w:cs="Times New Roman"/>
          <w:sz w:val="32"/>
          <w:szCs w:val="24"/>
        </w:rPr>
        <w:t>23</w:t>
      </w:r>
      <w:r>
        <w:rPr>
          <w:rFonts w:ascii="Times New Roman" w:hAnsi="Times New Roman" w:eastAsia="FangSong_GB2312" w:cs="Times New Roman"/>
          <w:sz w:val="32"/>
          <w:szCs w:val="24"/>
        </w:rPr>
        <w:t>年，我部门安排政府采购预算</w:t>
      </w:r>
      <w:r>
        <w:rPr>
          <w:rFonts w:ascii="Times New Roman" w:hAnsi="Times New Roman" w:eastAsia="方正仿宋_GBK" w:cs="Times New Roman"/>
          <w:b w:val="0"/>
          <w:color w:val="000000"/>
          <w:sz w:val="28"/>
        </w:rPr>
        <w:t>252.00</w:t>
      </w:r>
      <w:r>
        <w:rPr>
          <w:rFonts w:ascii="Times New Roman" w:hAnsi="Times New Roman" w:eastAsia="FangSong_GB2312" w:cs="Times New Roman"/>
          <w:sz w:val="32"/>
          <w:szCs w:val="24"/>
        </w:rPr>
        <w:t>万元。具体内容见下表。</w:t>
      </w:r>
    </w:p>
    <w:bookmarkEnd w:id="0"/>
    <w:p>
      <w:pPr>
        <w:spacing w:line="584" w:lineRule="exact"/>
        <w:jc w:val="left"/>
        <w:outlineLvl w:val="0"/>
        <w:rPr>
          <w:rFonts w:ascii="Times New Roman" w:hAnsi="Times New Roman" w:eastAsia="FangSong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廊坊市生态环境局三河市分局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252.00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252.00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rPr>
                <w:rFonts w:hint="eastAsia" w:ascii="FangSong_GB2312" w:hAnsi="FangSong_GB2312" w:eastAsia="FangSong_GB2312" w:cs="FangSong_GB2312"/>
                <w:b/>
                <w:kern w:val="0"/>
                <w:sz w:val="21"/>
                <w:szCs w:val="24"/>
                <w:lang w:val="en-US" w:eastAsia="uk-UA" w:bidi="ar-SA"/>
              </w:rPr>
            </w:pPr>
            <w:r>
              <w:rPr>
                <w:rFonts w:hint="eastAsia" w:ascii="FangSong_GB2312" w:hAnsi="FangSong_GB2312" w:eastAsia="FangSong_GB2312" w:cs="FangSong_GB2312"/>
              </w:rPr>
              <w:t>廊坊市生态环境局三河市分局本级小计</w:t>
            </w: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1134" w:type="dxa"/>
            <w:vAlign w:val="center"/>
          </w:tcPr>
          <w:p>
            <w:pPr>
              <w:pStyle w:val="22"/>
              <w:rPr>
                <w:rFonts w:hint="eastAsia" w:ascii="FangSong_GB2312" w:hAnsi="FangSong_GB2312" w:eastAsia="FangSong_GB2312" w:cs="FangSong_GB2312"/>
                <w:b/>
                <w:kern w:val="0"/>
                <w:sz w:val="21"/>
                <w:szCs w:val="24"/>
                <w:lang w:val="en-US" w:eastAsia="uk-UA" w:bidi="ar-SA"/>
              </w:rPr>
            </w:pPr>
          </w:p>
        </w:tc>
        <w:tc>
          <w:tcPr>
            <w:tcW w:w="1134" w:type="dxa"/>
            <w:vAlign w:val="center"/>
          </w:tcPr>
          <w:p>
            <w:pPr>
              <w:pStyle w:val="22"/>
              <w:rPr>
                <w:rFonts w:hint="eastAsia" w:ascii="FangSong_GB2312" w:hAnsi="FangSong_GB2312" w:eastAsia="FangSong_GB2312" w:cs="FangSong_GB2312"/>
                <w:b/>
                <w:kern w:val="0"/>
                <w:sz w:val="21"/>
                <w:szCs w:val="24"/>
                <w:lang w:val="en-US" w:eastAsia="uk-UA" w:bidi="ar-SA"/>
              </w:rPr>
            </w:pPr>
          </w:p>
        </w:tc>
        <w:tc>
          <w:tcPr>
            <w:tcW w:w="709" w:type="dxa"/>
            <w:vAlign w:val="center"/>
          </w:tcPr>
          <w:p>
            <w:pPr>
              <w:pStyle w:val="20"/>
              <w:rPr>
                <w:rFonts w:hint="eastAsia" w:ascii="FangSong_GB2312" w:hAnsi="FangSong_GB2312" w:eastAsia="FangSong_GB2312" w:cs="FangSong_GB2312"/>
                <w:b/>
                <w:kern w:val="0"/>
                <w:sz w:val="21"/>
                <w:szCs w:val="24"/>
                <w:lang w:val="en-US" w:eastAsia="uk-UA" w:bidi="ar-SA"/>
              </w:rPr>
            </w:pPr>
          </w:p>
        </w:tc>
        <w:tc>
          <w:tcPr>
            <w:tcW w:w="850"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850"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r>
              <w:rPr>
                <w:rFonts w:hint="eastAsia" w:ascii="FangSong_GB2312" w:hAnsi="FangSong_GB2312" w:eastAsia="FangSong_GB2312" w:cs="FangSong_GB2312"/>
              </w:rPr>
              <w:t>252.00</w:t>
            </w: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r>
              <w:rPr>
                <w:rFonts w:hint="eastAsia" w:ascii="FangSong_GB2312" w:hAnsi="FangSong_GB2312" w:eastAsia="FangSong_GB2312" w:cs="FangSong_GB2312"/>
              </w:rPr>
              <w:t>252.00</w:t>
            </w: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p>
        </w:tc>
        <w:tc>
          <w:tcPr>
            <w:tcW w:w="964" w:type="dxa"/>
            <w:vAlign w:val="center"/>
          </w:tcPr>
          <w:p>
            <w:pPr>
              <w:pStyle w:val="21"/>
              <w:rPr>
                <w:rFonts w:hint="eastAsia" w:ascii="FangSong_GB2312" w:hAnsi="FangSong_GB2312" w:eastAsia="FangSong_GB2312" w:cs="FangSong_GB2312"/>
                <w:b/>
                <w:kern w:val="0"/>
                <w:sz w:val="21"/>
                <w:szCs w:val="24"/>
                <w:lang w:val="en-US" w:eastAsia="uk-UA" w:bidi="ar-SA"/>
              </w:rPr>
            </w:pPr>
            <w:r>
              <w:rPr>
                <w:rFonts w:hint="eastAsia" w:ascii="FangSong_GB2312" w:hAnsi="FangSong_GB2312" w:eastAsia="FangSong_GB2312" w:cs="FangSong_GB2312"/>
              </w:rPr>
              <w:t>252.00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第二次全国污染源普查工作业务费</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47.55</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生态资源调查与监测服务</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C07010100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重型柴油车尾气检测服务费</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30.00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生态资源调查与监测服务</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C07010100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30.00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30.00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30.00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餐饮油烟监控系统设备购置项目</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28.00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环保监测设备</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A02360500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台</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20</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餐饮油烟监控系统设备购置项目</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28.00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环保监测设备</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A02360500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套</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大气污染综合治理项目资金</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60.00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生态资源调查与监测服务</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C07010100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60.00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60.00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60.00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三河市空气质量管控系统设备购置项目</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46.00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环保监测设备</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A02360500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台</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10</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4.60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46.00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46.00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重点工业企业治污设施与生产设施分表记电系统运行维护项目</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48.00</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其他运行维护服务</w:t>
            </w:r>
          </w:p>
        </w:tc>
        <w:tc>
          <w:tcPr>
            <w:tcW w:w="1134" w:type="dxa"/>
            <w:vAlign w:val="center"/>
          </w:tcPr>
          <w:p>
            <w:pPr>
              <w:pStyle w:val="18"/>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C16079900</w:t>
            </w:r>
          </w:p>
        </w:tc>
        <w:tc>
          <w:tcPr>
            <w:tcW w:w="709" w:type="dxa"/>
            <w:vAlign w:val="center"/>
          </w:tcPr>
          <w:p>
            <w:pPr>
              <w:pStyle w:val="19"/>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项</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1</w:t>
            </w:r>
          </w:p>
        </w:tc>
        <w:tc>
          <w:tcPr>
            <w:tcW w:w="850"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48.00</w:t>
            </w: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p>
        </w:tc>
        <w:tc>
          <w:tcPr>
            <w:tcW w:w="964" w:type="dxa"/>
            <w:vAlign w:val="center"/>
          </w:tcPr>
          <w:p>
            <w:pPr>
              <w:pStyle w:val="17"/>
              <w:rPr>
                <w:rFonts w:hint="eastAsia" w:ascii="FangSong_GB2312" w:hAnsi="FangSong_GB2312" w:eastAsia="FangSong_GB2312" w:cs="FangSong_GB2312"/>
                <w:kern w:val="0"/>
                <w:sz w:val="21"/>
                <w:szCs w:val="24"/>
                <w:lang w:val="en-US" w:eastAsia="uk-UA" w:bidi="ar-SA"/>
              </w:rPr>
            </w:pPr>
            <w:r>
              <w:rPr>
                <w:rFonts w:hint="eastAsia" w:ascii="FangSong_GB2312" w:hAnsi="FangSong_GB2312" w:eastAsia="FangSong_GB2312" w:cs="FangSong_GB2312"/>
              </w:rPr>
              <w:t>48.00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FangSong_GB2312" w:hAnsi="FangSong_GB2312" w:eastAsia="FangSong_GB2312" w:cs="FangSong_GB2312"/>
          <w:sz w:val="32"/>
          <w:szCs w:val="32"/>
        </w:rPr>
      </w:pPr>
      <w:r>
        <w:rPr>
          <w:rFonts w:hint="eastAsia" w:ascii="FangSong_GB2312" w:hAnsi="FangSong_GB2312" w:eastAsia="FangSong_GB2312" w:cs="FangSong_GB2312"/>
          <w:b w:val="0"/>
          <w:color w:val="000000"/>
          <w:sz w:val="32"/>
          <w:szCs w:val="32"/>
        </w:rPr>
        <w:t>廊坊市生态环境局三河市分局上年末固定资产金额为2274.18万元（详见下表）。本年度拟购置固定资产总额为74.00万元，</w:t>
      </w:r>
      <w:r>
        <w:rPr>
          <w:rFonts w:hint="eastAsia" w:ascii="FangSong_GB2312" w:hAnsi="FangSong_GB2312" w:eastAsia="FangSong_GB2312" w:cs="FangSong_GB2312"/>
          <w:sz w:val="32"/>
          <w:szCs w:val="32"/>
        </w:rPr>
        <w:t>主要为</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餐饮油烟监控系统设备、空气质量管控系统设备</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等，已列入政府采购预算，详见政府采购预算表。</w:t>
      </w:r>
    </w:p>
    <w:p>
      <w:pPr>
        <w:spacing w:line="584" w:lineRule="exact"/>
        <w:ind w:firstLine="640"/>
        <w:rPr>
          <w:rFonts w:ascii="Times New Roman" w:hAnsi="Times New Roman" w:eastAsia="FangSong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FangSong_GB2312" w:cs="Times New Roman"/>
                <w:b/>
                <w:bCs/>
                <w:kern w:val="0"/>
                <w:sz w:val="32"/>
                <w:szCs w:val="32"/>
              </w:rPr>
            </w:pPr>
            <w:r>
              <w:rPr>
                <w:rFonts w:hint="eastAsia" w:ascii="Times New Roman" w:hAnsi="Times New Roman" w:eastAsia="FangSong_GB2312" w:cs="Times New Roman"/>
                <w:b/>
                <w:bCs/>
                <w:kern w:val="0"/>
                <w:sz w:val="32"/>
                <w:szCs w:val="32"/>
                <w:lang w:val="en-US" w:eastAsia="zh-CN"/>
              </w:rPr>
              <w:t>三河</w:t>
            </w:r>
            <w:r>
              <w:rPr>
                <w:rFonts w:ascii="Times New Roman" w:hAnsi="Times New Roman" w:eastAsia="FangSong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FangSong_GB2312" w:cs="Times New Roman"/>
                <w:kern w:val="0"/>
                <w:sz w:val="22"/>
              </w:rPr>
            </w:pPr>
            <w:r>
              <w:rPr>
                <w:rFonts w:ascii="Times New Roman" w:hAnsi="Times New Roman" w:eastAsia="FangSong_GB2312" w:cs="Times New Roman"/>
                <w:kern w:val="0"/>
                <w:sz w:val="22"/>
              </w:rPr>
              <w:t>编制部门：</w:t>
            </w:r>
            <w:r>
              <w:rPr>
                <w:rFonts w:hint="eastAsia" w:ascii="Times New Roman" w:hAnsi="Times New Roman" w:eastAsia="FangSong_GB2312" w:cs="Times New Roman"/>
                <w:kern w:val="0"/>
                <w:sz w:val="22"/>
                <w:lang w:eastAsia="zh-CN"/>
              </w:rPr>
              <w:t>廊坊市生态环境局三河市分局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FangSong_GB2312" w:cs="Times New Roman"/>
                <w:kern w:val="0"/>
                <w:sz w:val="22"/>
              </w:rPr>
            </w:pPr>
            <w:r>
              <w:rPr>
                <w:rFonts w:ascii="Times New Roman" w:hAnsi="Times New Roman" w:eastAsia="FangSong_GB2312" w:cs="Times New Roman"/>
                <w:kern w:val="0"/>
                <w:sz w:val="22"/>
              </w:rPr>
              <w:t>截止时间：20</w:t>
            </w:r>
            <w:r>
              <w:rPr>
                <w:rFonts w:hint="eastAsia" w:ascii="Times New Roman" w:hAnsi="Times New Roman" w:eastAsia="FangSong_GB2312" w:cs="Times New Roman"/>
                <w:kern w:val="0"/>
                <w:sz w:val="22"/>
              </w:rPr>
              <w:t>22</w:t>
            </w:r>
            <w:r>
              <w:rPr>
                <w:rFonts w:ascii="Times New Roman" w:hAnsi="Times New Roman" w:eastAsia="FangSong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b/>
                <w:bCs/>
                <w:kern w:val="0"/>
                <w:sz w:val="22"/>
              </w:rPr>
            </w:pPr>
            <w:r>
              <w:rPr>
                <w:rFonts w:ascii="Times New Roman" w:hAnsi="Times New Roman" w:eastAsia="FangSong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b/>
                <w:bCs/>
                <w:kern w:val="0"/>
                <w:sz w:val="22"/>
              </w:rPr>
            </w:pPr>
            <w:r>
              <w:rPr>
                <w:rFonts w:ascii="Times New Roman" w:hAnsi="Times New Roman" w:eastAsia="FangSong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b/>
                <w:bCs/>
                <w:kern w:val="0"/>
                <w:sz w:val="22"/>
              </w:rPr>
            </w:pPr>
            <w:r>
              <w:rPr>
                <w:rFonts w:ascii="Times New Roman" w:hAnsi="Times New Roman" w:eastAsia="FangSong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FangSong_GB2312" w:cs="Times New Roman"/>
                <w:sz w:val="22"/>
              </w:rPr>
            </w:pPr>
            <w:r>
              <w:rPr>
                <w:rFonts w:ascii="Times New Roman" w:hAnsi="Times New Roman" w:eastAsia="FangSong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2274.18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FangSong_GB2312" w:cs="Times New Roman"/>
                <w:sz w:val="22"/>
              </w:rPr>
            </w:pPr>
            <w:r>
              <w:rPr>
                <w:rFonts w:ascii="Times New Roman" w:hAnsi="Times New Roman" w:eastAsia="FangSong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rPr>
                <w:rFonts w:ascii="Times New Roman" w:hAnsi="Times New Roman" w:eastAsia="FangSong_GB2312" w:cs="Times New Roman"/>
                <w:sz w:val="22"/>
              </w:rPr>
              <w:t>——</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FangSong_GB2312" w:cs="Times New Roman"/>
                <w:sz w:val="22"/>
              </w:rPr>
            </w:pPr>
            <w:r>
              <w:rPr>
                <w:rFonts w:ascii="Times New Roman" w:hAnsi="Times New Roman" w:eastAsia="FangSong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rPr>
                <w:rFonts w:ascii="Times New Roman" w:hAnsi="Times New Roman" w:eastAsia="FangSong_GB2312" w:cs="Times New Roman"/>
                <w:sz w:val="22"/>
              </w:rPr>
              <w:t>——</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5</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17.00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14</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831.24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FangSong_GB2312" w:cs="Times New Roman"/>
                <w:kern w:val="0"/>
                <w:sz w:val="22"/>
              </w:rPr>
            </w:pPr>
            <w:r>
              <w:rPr>
                <w:rFonts w:ascii="Times New Roman" w:hAnsi="Times New Roman" w:eastAsia="FangSong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3500</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1425.94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1、一般公共预算拨款收入：</w:t>
      </w:r>
      <w:r>
        <w:rPr>
          <w:rFonts w:ascii="Times New Roman" w:hAnsi="Times New Roman" w:eastAsia="FangSong_GB2312" w:cs="Times New Roman"/>
          <w:sz w:val="32"/>
          <w:szCs w:val="32"/>
        </w:rPr>
        <w:t>指</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级财政当年拨付的资金。</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2、事业收入：</w:t>
      </w:r>
      <w:r>
        <w:rPr>
          <w:rFonts w:ascii="Times New Roman" w:hAnsi="Times New Roman" w:eastAsia="FangSong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FangSong_GB2312" w:cs="Times New Roman"/>
          <w:b/>
          <w:sz w:val="32"/>
          <w:szCs w:val="32"/>
        </w:rPr>
      </w:pPr>
      <w:r>
        <w:rPr>
          <w:rFonts w:ascii="Times New Roman" w:hAnsi="Times New Roman" w:eastAsia="FangSong_GB2312" w:cs="Times New Roman"/>
          <w:b/>
          <w:sz w:val="32"/>
          <w:szCs w:val="32"/>
        </w:rPr>
        <w:t>3、其他收入：</w:t>
      </w:r>
      <w:r>
        <w:rPr>
          <w:rFonts w:ascii="Times New Roman" w:hAnsi="Times New Roman" w:eastAsia="FangSong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4、基本支出：</w:t>
      </w:r>
      <w:r>
        <w:rPr>
          <w:rFonts w:ascii="Times New Roman" w:hAnsi="Times New Roman" w:eastAsia="FangSong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5、项目支出：</w:t>
      </w:r>
      <w:r>
        <w:rPr>
          <w:rFonts w:ascii="Times New Roman" w:hAnsi="Times New Roman" w:eastAsia="FangSong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6、上缴上级支出：</w:t>
      </w:r>
      <w:r>
        <w:rPr>
          <w:rFonts w:ascii="Times New Roman" w:hAnsi="Times New Roman" w:eastAsia="FangSong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7、“三公”经费：</w:t>
      </w:r>
      <w:r>
        <w:rPr>
          <w:rFonts w:ascii="Times New Roman" w:hAnsi="Times New Roman" w:eastAsia="FangSong_GB2312" w:cs="Times New Roman"/>
          <w:sz w:val="32"/>
          <w:szCs w:val="32"/>
        </w:rPr>
        <w:t>纳入</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级财政预算管理的“三公”经费，是指</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8、机关运行费：</w:t>
      </w:r>
      <w:r>
        <w:rPr>
          <w:rFonts w:ascii="Times New Roman" w:hAnsi="Times New Roman" w:eastAsia="FangSong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9、上年结转：</w:t>
      </w:r>
      <w:r>
        <w:rPr>
          <w:rFonts w:ascii="Times New Roman" w:hAnsi="Times New Roman" w:eastAsia="FangSong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sz w:val="32"/>
          <w:szCs w:val="32"/>
        </w:rPr>
        <w:t>10、事业单位经营支出：</w:t>
      </w:r>
      <w:r>
        <w:rPr>
          <w:rFonts w:ascii="Times New Roman" w:hAnsi="Times New Roman" w:eastAsia="FangSong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我部门无其他需要说明的事项。</w:t>
      </w:r>
    </w:p>
    <w:p>
      <w:pPr>
        <w:spacing w:line="584" w:lineRule="exact"/>
        <w:ind w:firstLine="640" w:firstLineChars="200"/>
        <w:rPr>
          <w:rFonts w:ascii="Times New Roman" w:hAnsi="Times New Roman" w:eastAsia="FangSong_GB2312" w:cs="Times New Roman"/>
          <w:sz w:val="32"/>
          <w:szCs w:val="32"/>
        </w:rPr>
      </w:pPr>
    </w:p>
    <w:p>
      <w:pPr>
        <w:spacing w:line="584" w:lineRule="exact"/>
        <w:rPr>
          <w:rFonts w:ascii="Times New Roman" w:hAnsi="Times New Roman" w:eastAsia="FangSong_GB2312" w:cs="Times New Roman"/>
          <w:sz w:val="32"/>
          <w:szCs w:val="32"/>
        </w:rPr>
      </w:pPr>
    </w:p>
    <w:p>
      <w:pPr>
        <w:spacing w:line="584" w:lineRule="exact"/>
        <w:ind w:firstLine="643" w:firstLineChars="200"/>
        <w:rPr>
          <w:rFonts w:ascii="Times New Roman" w:hAnsi="Times New Roman" w:eastAsia="FangSong_GB2312" w:cs="Times New Roman"/>
          <w:b/>
          <w:color w:val="FF0000"/>
          <w:sz w:val="32"/>
          <w:szCs w:val="32"/>
        </w:rPr>
      </w:pPr>
    </w:p>
    <w:sectPr>
      <w:footerReference r:id="rId5"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KaiTi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3MmM5Mzk2ZTg1MWM3N2M5MTY2MjEzNjc4MmQ2MD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5A117D"/>
    <w:rsid w:val="0AAC25C7"/>
    <w:rsid w:val="0C8F023A"/>
    <w:rsid w:val="10CA18B3"/>
    <w:rsid w:val="13154480"/>
    <w:rsid w:val="145C30F7"/>
    <w:rsid w:val="15D706AD"/>
    <w:rsid w:val="1DCA6D10"/>
    <w:rsid w:val="1E35693F"/>
    <w:rsid w:val="1E4B16CB"/>
    <w:rsid w:val="21AF3493"/>
    <w:rsid w:val="269845FC"/>
    <w:rsid w:val="31CD6F8B"/>
    <w:rsid w:val="32E97DF4"/>
    <w:rsid w:val="359070C3"/>
    <w:rsid w:val="4204255C"/>
    <w:rsid w:val="44BF4C46"/>
    <w:rsid w:val="452B3BBA"/>
    <w:rsid w:val="48BA626F"/>
    <w:rsid w:val="498E6DB8"/>
    <w:rsid w:val="4C933D5B"/>
    <w:rsid w:val="4F33054C"/>
    <w:rsid w:val="56203972"/>
    <w:rsid w:val="5FA222B4"/>
    <w:rsid w:val="6564065F"/>
    <w:rsid w:val="69177F3D"/>
    <w:rsid w:val="696D1C80"/>
    <w:rsid w:val="73572D10"/>
    <w:rsid w:val="75EC76D1"/>
    <w:rsid w:val="794909BC"/>
    <w:rsid w:val="7C703FD3"/>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25231</Words>
  <Characters>26535</Characters>
  <Lines>35</Lines>
  <Paragraphs>10</Paragraphs>
  <TotalTime>7</TotalTime>
  <ScaleCrop>false</ScaleCrop>
  <LinksUpToDate>false</LinksUpToDate>
  <CharactersWithSpaces>26745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1</cp:lastModifiedBy>
  <cp:lastPrinted>2023-01-29T01:01:00Z</cp:lastPrinted>
  <dcterms:modified xsi:type="dcterms:W3CDTF">2024-01-17T02:51:16Z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EB9C0F9B3BB841678D75DAD72FAD8148</vt:lpwstr>
  </property>
</Properties>
</file>